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D5" w:rsidRDefault="00BC0A6A">
      <w:pPr>
        <w:pStyle w:val="a3"/>
        <w:widowControl/>
        <w:wordWrap w:val="0"/>
        <w:spacing w:before="376" w:beforeAutospacing="0" w:after="76" w:afterAutospacing="0"/>
        <w:ind w:left="300" w:right="300" w:firstLine="420"/>
        <w:jc w:val="center"/>
        <w:rPr>
          <w:rFonts w:ascii="宋体" w:eastAsia="宋体" w:hAnsi="宋体" w:cs="宋体"/>
          <w:b/>
          <w:bCs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2018年部门决算及“三公”经费信息公开说明</w:t>
      </w:r>
    </w:p>
    <w:p w:rsidR="008A22D5" w:rsidRDefault="008A22D5">
      <w:pPr>
        <w:pStyle w:val="a3"/>
        <w:widowControl/>
        <w:wordWrap w:val="0"/>
        <w:spacing w:before="376" w:beforeAutospacing="0" w:after="76" w:afterAutospacing="0" w:line="420" w:lineRule="atLeast"/>
        <w:ind w:left="300" w:right="300" w:firstLine="420"/>
        <w:jc w:val="center"/>
        <w:rPr>
          <w:rFonts w:ascii="宋体" w:eastAsia="宋体" w:hAnsi="宋体" w:cs="宋体"/>
          <w:b/>
          <w:bCs/>
          <w:color w:val="000000"/>
          <w:sz w:val="44"/>
          <w:szCs w:val="44"/>
        </w:rPr>
      </w:pPr>
    </w:p>
    <w:p w:rsidR="008A22D5" w:rsidRDefault="00BC0A6A">
      <w:pPr>
        <w:widowControl/>
        <w:shd w:val="clear" w:color="auto" w:fill="FFFFFF"/>
        <w:wordWrap w:val="0"/>
        <w:spacing w:before="210" w:after="210" w:line="360" w:lineRule="auto"/>
        <w:ind w:firstLine="640"/>
        <w:jc w:val="lef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根据《中华人民共和国预算法》《吕梁市离石区人民政府办公室关于做好全区预（决）算和“三公”经费信息公开工作的通知》（离政办发〔2014〕130号）《吕梁市离石区财政局关于转发&lt;吕梁市财政局关于进一步推进全市预决算信息公开工作的通知&gt;的通知》（离财预〔2016〕112号）《离石区财政局关于转发&lt;财政部关于印发&lt;地方预决算公开操作规程&gt;的通知&gt;的通知》（离财预〔2016〕373号）《离石区财政局关于批复2018年度部门决算的通知》（离财库〔2018〕3号）文件的要求，现将我单位2018年部门决算信息公开如下：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一、部门概况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（一）基本职责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1.贯彻执行农业法律法规和各级支农扶农政策；组织拟订有关农业的地方性政策、法规、规章草案；指导监督农业行政执法工作。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2.组织实施农业现代化、产业化规划。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3.承担区委农村工作领导小组的日常工作。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 xml:space="preserve">　　4.承担提升农产品质量安全水平的责任。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5.执行主管产业的国家、行业和地方标准。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6.贯彻农业科研、教育、技术推广的方针政策。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（二）机构设置</w:t>
      </w:r>
    </w:p>
    <w:p w:rsidR="008A22D5" w:rsidRDefault="00E7720D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离石区农业委员会</w:t>
      </w:r>
      <w:r w:rsidR="00BC0A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是区政府主管全区农业与农村经济发展工作的职能部门，是农业系统综合协调、宏观调控、指导服务的职能部门，直接肩负着全区农业生产和农业农村经济发展的使命。2002年1月机构改革时，由原市农业局(成立于1956年2月)、市畜牧局、市农业综合开发局、市农业委员会（中共离石市农村工作领导小组办公室）、市菜篮子办五个单位合并成离石市农牧局。2004年撤市设区后改名为离石区农牧局。2008年5月畜牧局独立设置后，改名为离石区农业局。2010年机构改革时变更为，2016年2月离石区畜牧兽医局合并到。现与中共离石区农业系统党委、中共离石区农村工作领导小组办公室、离石区新农办四块牌子一套人马。属于正科级行政事业单位，内设股、站、室、场、所、中心等，分别是党委办、办公室、人事财务股、发展计划股、产业政策与法规股、科教股、农产品股、种植股。新农村建设指导股、农业综合执法大队、蚕果站、农业技术站、土肥站、农广校、种子站、环保站、植保站、市场信息股、蔬菜办、良种场。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（三）编制及领导职数</w:t>
      </w:r>
    </w:p>
    <w:p w:rsidR="008A22D5" w:rsidRDefault="00E7720D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 xml:space="preserve">　　区农业委员会</w:t>
      </w:r>
      <w:r w:rsidR="00BC0A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核定财政拨款行政编制</w:t>
      </w:r>
      <w:r w:rsidR="009C72B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21</w:t>
      </w:r>
      <w:r w:rsidR="00BC0A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名：其中副处4名，正科5名，副科</w:t>
      </w:r>
      <w:r w:rsidR="009C72B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 w:rsidR="00BC0A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名，科员5名，技师3名，高工1名，事业</w:t>
      </w:r>
      <w:r w:rsidR="009C72B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138</w:t>
      </w:r>
      <w:r w:rsidR="00BC0A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名：其中副高10名，中级</w:t>
      </w:r>
      <w:r w:rsidR="009C72B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56</w:t>
      </w:r>
      <w:r w:rsidR="00BC0A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名，助理</w:t>
      </w:r>
      <w:r w:rsidR="009C72B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及以下72</w:t>
      </w:r>
      <w:r w:rsidR="00BC0A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名。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（四）部门决算单位构成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本部门2018年决算仅包括本机关决算。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二、2018年主要工作完成情况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1、深入推进农业供给侧结构性改革加快培育农业农村发展新动能。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2、进一步做大、做强特色现代农业，有效发挥特色农业产业扶贫工作。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3、依靠科技进步，提升农民专业素质。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4、用发展园区办法提高建设的现代农业扶贫产业项目库建设。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三、2018年收支决算情况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（一）收入决算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2018年财政拨款总收入7886万元，2017年财政拨款总收入2480万元，2018年比2017年收入增加5406万元。同比增加41.33%。增加变动原因是畜牧局并入。其中:2018年一般公共预算收入7886万元， 2017年一般公共预算收入2480万元，2018年比2017年收入增加5406万元。同比增加41.33%。增加变动原因是畜牧局并入。政府性基金预算收入0万元，2017年政府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性基金预算收入0万元，同比无增减变化。上年结余结转3012万元,全年合计8188万元。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（二）支出决算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2018年支出决算8188万元，其中：一般公共预算支出5743万元，年末结余2444万元。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2018年财政拨款总支出决算8188万元，2017年财政拨款总支出决算2179万元，2018年比2017年支出决算增加6009万元，同比增加59.39%。增加变动原因是：畜牧局并入。其中：2018年一般公共预算财政拨款支出8188万元，2017年一般公共预算财政拨款支出2179万元，2018年比2017年支出决算增加6009万元，同比增加59.39%。增加变动原因是：畜牧局并入年末结余结转10.83万元。政府性基金预算拨款支出0万元，2017年政府性基金预算支出0万元，同比无增减变化。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2018年一般公共预算拨款支出按用途划分：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1、基本支出4993万元，主要是：工资福利支出1613万元，商品和服务支出89万元，对个人家庭补助3291万元；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2、项目支出5743万元。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3、其他支出0万元。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2018年政府性基金预算拨款支出按用途划分：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1、基本支出0万元。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2、项目支出0万元。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3、其他支出0万元。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 xml:space="preserve">　　四、2018年“三公”经费决算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2018年一般公共预算执行“三公”经费决算2万元。其中，公务用车运行维护费2万元， “三公”经费支出与2017年相比减少了0.8万元，减少比例40%。原因为配合财政部门严控“三公”经费支出要求，减少“三公”经费0.8万元。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五、2018年政府釆购决算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2018年政府釆购年初预算0万元，实际支出0万元，同比增减0万元。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六、机关运行经费安排情况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2018年安排机关运行经费财政拨款预算89万元，较2017年236.6万元减少147.6万元，同比增长49.15%，原因是农业畜牧合并，人员工资增加，经费增加。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七、其他说明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（一）重点项目预算的绩效目标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本单位无重点项目，没有重点项目预算绩效目标管理的情况说明。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(二）国有资产占用情况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1、车辆情况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现有公车7辆，原价47.94万元，由于中心参加车改，车辆停用，待收回。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2、通用设备</w:t>
      </w:r>
      <w:bookmarkStart w:id="0" w:name="_GoBack"/>
      <w:bookmarkEnd w:id="0"/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 xml:space="preserve">　　本单位共有通用设备251件（不包括车辆），价值为201.84万元，无单位价值在50万元以上的通用设备。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3、专用设备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本单位共有专用设备2958件，价值为1661.49万元，无单位价值在100万元以上的专用设备。</w:t>
      </w:r>
    </w:p>
    <w:p w:rsidR="008A22D5" w:rsidRDefault="00BC0A6A">
      <w:pPr>
        <w:widowControl/>
        <w:wordWrap w:val="0"/>
        <w:spacing w:line="30" w:lineRule="atLeast"/>
        <w:ind w:left="300" w:right="30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</w:t>
      </w:r>
      <w:hyperlink r:id="rId5" w:history="1">
        <w:r>
          <w:rPr>
            <w:rStyle w:val="a4"/>
            <w:rFonts w:ascii="宋体" w:eastAsia="宋体" w:hAnsi="宋体" w:cs="宋体" w:hint="eastAsia"/>
            <w:color w:val="666666"/>
            <w:sz w:val="28"/>
            <w:szCs w:val="28"/>
            <w:u w:val="none"/>
          </w:rPr>
          <w:t>2018年部门决算及“三公”经费信息公开情况表.xls</w:t>
        </w:r>
      </w:hyperlink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8A22D5" w:rsidRDefault="00BC0A6A">
      <w:pPr>
        <w:pStyle w:val="a3"/>
        <w:widowControl/>
        <w:wordWrap w:val="0"/>
        <w:spacing w:before="586" w:beforeAutospacing="0" w:after="286" w:afterAutospacing="0" w:line="420" w:lineRule="atLeast"/>
        <w:ind w:left="300" w:right="30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8A22D5" w:rsidRDefault="00BC0A6A">
      <w:pPr>
        <w:pStyle w:val="a3"/>
        <w:widowControl/>
        <w:wordWrap w:val="0"/>
        <w:spacing w:before="586" w:beforeAutospacing="0" w:after="286" w:afterAutospacing="0" w:line="420" w:lineRule="atLeast"/>
        <w:ind w:left="300" w:right="30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</w:t>
      </w:r>
    </w:p>
    <w:p w:rsidR="008A22D5" w:rsidRDefault="00BC0A6A">
      <w:pPr>
        <w:widowControl/>
        <w:wordWrap w:val="0"/>
        <w:spacing w:before="375" w:after="240"/>
        <w:ind w:left="300" w:right="300"/>
        <w:jc w:val="left"/>
        <w:rPr>
          <w:rFonts w:ascii="寰蒋闆呴粦" w:eastAsia="寰蒋闆呴粦" w:hAnsi="寰蒋闆呴粦" w:cs="寰蒋闆呴粦"/>
          <w:color w:val="000000"/>
          <w:sz w:val="24"/>
        </w:rPr>
      </w:pPr>
      <w:r>
        <w:rPr>
          <w:rFonts w:ascii="寰蒋闆呴粦" w:eastAsia="寰蒋闆呴粦" w:hAnsi="寰蒋闆呴粦" w:cs="寰蒋闆呴粦"/>
          <w:color w:val="000000"/>
          <w:kern w:val="0"/>
          <w:sz w:val="24"/>
        </w:rPr>
        <w:br/>
      </w:r>
      <w:r>
        <w:rPr>
          <w:rFonts w:ascii="寰蒋闆呴粦" w:eastAsia="寰蒋闆呴粦" w:hAnsi="寰蒋闆呴粦" w:cs="寰蒋闆呴粦"/>
          <w:color w:val="000000"/>
          <w:kern w:val="0"/>
          <w:sz w:val="24"/>
        </w:rPr>
        <w:br/>
      </w:r>
      <w:r>
        <w:rPr>
          <w:rFonts w:ascii="寰蒋闆呴粦" w:eastAsia="寰蒋闆呴粦" w:hAnsi="寰蒋闆呴粦" w:cs="寰蒋闆呴粦"/>
          <w:color w:val="000000"/>
          <w:kern w:val="0"/>
          <w:sz w:val="24"/>
        </w:rPr>
        <w:br/>
      </w:r>
      <w:r>
        <w:rPr>
          <w:rFonts w:ascii="寰蒋闆呴粦" w:eastAsia="寰蒋闆呴粦" w:hAnsi="寰蒋闆呴粦" w:cs="寰蒋闆呴粦"/>
          <w:color w:val="000000"/>
          <w:kern w:val="0"/>
          <w:sz w:val="24"/>
        </w:rPr>
        <w:br/>
      </w:r>
      <w:r>
        <w:rPr>
          <w:rFonts w:ascii="寰蒋闆呴粦" w:eastAsia="寰蒋闆呴粦" w:hAnsi="寰蒋闆呴粦" w:cs="寰蒋闆呴粦"/>
          <w:color w:val="000000"/>
          <w:kern w:val="0"/>
          <w:sz w:val="24"/>
        </w:rPr>
        <w:br/>
      </w:r>
    </w:p>
    <w:p w:rsidR="008A22D5" w:rsidRDefault="008A22D5"/>
    <w:sectPr w:rsidR="008A22D5" w:rsidSect="008A2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寰蒋闆呴粦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FF8243C"/>
    <w:rsid w:val="008A1021"/>
    <w:rsid w:val="008A22D5"/>
    <w:rsid w:val="009209A0"/>
    <w:rsid w:val="009C72B5"/>
    <w:rsid w:val="00BC0A6A"/>
    <w:rsid w:val="00E7720D"/>
    <w:rsid w:val="3FF8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2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2D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8A22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ishi.gov.cn/zwgk/zfbmxxgk/nyxt/nw_37792/czyjshsgjf_37798/201809/W020190122428603651823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L..Q..</dc:creator>
  <cp:lastModifiedBy>Administrator</cp:lastModifiedBy>
  <cp:revision>2</cp:revision>
  <dcterms:created xsi:type="dcterms:W3CDTF">2019-10-23T08:58:00Z</dcterms:created>
  <dcterms:modified xsi:type="dcterms:W3CDTF">2019-10-23T08:58:00Z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