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240" w:lineRule="auto"/>
        <w:jc w:val="center"/>
        <w:rPr>
          <w:rFonts w:hint="eastAsia" w:ascii="华文中宋" w:hAnsi="华文中宋" w:eastAsia="华文中宋"/>
          <w:sz w:val="44"/>
          <w:szCs w:val="44"/>
          <w:lang w:eastAsia="zh-CN"/>
        </w:rPr>
      </w:pPr>
      <w:r>
        <w:rPr>
          <w:rFonts w:hint="eastAsia" w:ascii="华文中宋" w:hAnsi="华文中宋" w:eastAsia="华文中宋"/>
          <w:sz w:val="44"/>
          <w:szCs w:val="44"/>
        </w:rPr>
        <w:t>山西省吕梁市离石区</w:t>
      </w:r>
      <w:r>
        <w:rPr>
          <w:rFonts w:hint="eastAsia" w:ascii="华文中宋" w:hAnsi="华文中宋" w:eastAsia="华文中宋"/>
          <w:sz w:val="44"/>
          <w:szCs w:val="44"/>
          <w:lang w:eastAsia="zh-CN"/>
        </w:rPr>
        <w:t>文化和旅游</w:t>
      </w:r>
    </w:p>
    <w:p>
      <w:pPr>
        <w:keepNext w:val="0"/>
        <w:keepLines w:val="0"/>
        <w:pageBreakBefore w:val="0"/>
        <w:kinsoku/>
        <w:overflowPunct/>
        <w:topLinePunct w:val="0"/>
        <w:bidi w:val="0"/>
        <w:snapToGrid/>
        <w:spacing w:line="240" w:lineRule="auto"/>
        <w:jc w:val="center"/>
        <w:rPr>
          <w:rFonts w:ascii="仿宋" w:hAnsi="仿宋" w:eastAsia="仿宋"/>
          <w:sz w:val="32"/>
          <w:szCs w:val="32"/>
        </w:rPr>
      </w:pPr>
      <w:r>
        <w:rPr>
          <w:rFonts w:hint="eastAsia" w:ascii="华文中宋" w:hAnsi="华文中宋" w:eastAsia="华文中宋"/>
          <w:sz w:val="44"/>
          <w:szCs w:val="44"/>
        </w:rPr>
        <w:t>2021年度部门决算</w:t>
      </w:r>
    </w:p>
    <w:p>
      <w:pPr>
        <w:keepNext w:val="0"/>
        <w:keepLines w:val="0"/>
        <w:pageBreakBefore w:val="0"/>
        <w:kinsoku/>
        <w:overflowPunct/>
        <w:topLinePunct w:val="0"/>
        <w:bidi w:val="0"/>
        <w:snapToGrid/>
        <w:spacing w:line="240" w:lineRule="auto"/>
        <w:ind w:firstLine="160" w:firstLineChars="50"/>
        <w:jc w:val="center"/>
        <w:rPr>
          <w:rFonts w:ascii="黑体" w:hAnsi="黑体" w:eastAsia="黑体"/>
          <w:sz w:val="32"/>
          <w:szCs w:val="32"/>
        </w:rPr>
      </w:pPr>
    </w:p>
    <w:p>
      <w:pPr>
        <w:keepNext w:val="0"/>
        <w:keepLines w:val="0"/>
        <w:pageBreakBefore w:val="0"/>
        <w:kinsoku/>
        <w:overflowPunct/>
        <w:topLinePunct w:val="0"/>
        <w:bidi w:val="0"/>
        <w:snapToGrid/>
        <w:spacing w:line="240" w:lineRule="auto"/>
        <w:ind w:firstLine="180" w:firstLineChars="50"/>
        <w:jc w:val="center"/>
        <w:outlineLvl w:val="0"/>
        <w:rPr>
          <w:rFonts w:ascii="黑体" w:hAnsi="黑体" w:eastAsia="黑体"/>
          <w:sz w:val="32"/>
          <w:szCs w:val="32"/>
        </w:rPr>
      </w:pPr>
      <w:r>
        <w:rPr>
          <w:rFonts w:hint="eastAsia" w:ascii="黑体" w:hAnsi="黑体" w:eastAsia="黑体"/>
          <w:sz w:val="36"/>
          <w:szCs w:val="36"/>
        </w:rPr>
        <w:t>目录</w:t>
      </w:r>
    </w:p>
    <w:p>
      <w:pPr>
        <w:pStyle w:val="12"/>
        <w:keepNext w:val="0"/>
        <w:keepLines w:val="0"/>
        <w:pageBreakBefore w:val="0"/>
        <w:tabs>
          <w:tab w:val="right" w:leader="dot" w:pos="8306"/>
        </w:tabs>
        <w:kinsoku/>
        <w:overflowPunct/>
        <w:topLinePunct w:val="0"/>
        <w:bidi w:val="0"/>
        <w:snapToGrid/>
        <w:spacing w:line="240" w:lineRule="auto"/>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"_Toc1622" </w:instrText>
      </w:r>
      <w:r>
        <w:fldChar w:fldCharType="separate"/>
      </w:r>
      <w:r>
        <w:rPr>
          <w:rFonts w:hint="eastAsia" w:ascii="仿宋" w:hAnsi="仿宋" w:eastAsia="仿宋" w:cs="仿宋"/>
          <w:b/>
          <w:bCs/>
          <w:sz w:val="28"/>
          <w:szCs w:val="28"/>
        </w:rPr>
        <w:t>第一部分  概况</w:t>
      </w:r>
      <w:r>
        <w:rPr>
          <w:rFonts w:ascii="仿宋" w:hAnsi="仿宋" w:eastAsia="仿宋" w:cs="仿宋"/>
          <w:b/>
          <w:bCs/>
          <w:sz w:val="28"/>
          <w:szCs w:val="28"/>
        </w:rPr>
        <w:tab/>
      </w:r>
      <w:r>
        <w:rPr>
          <w:rFonts w:ascii="仿宋" w:hAnsi="仿宋" w:eastAsia="仿宋" w:cs="仿宋"/>
          <w:b/>
          <w:bCs/>
          <w:sz w:val="28"/>
          <w:szCs w:val="28"/>
        </w:rPr>
        <w:fldChar w:fldCharType="begin"/>
      </w:r>
      <w:r>
        <w:rPr>
          <w:rFonts w:ascii="仿宋" w:hAnsi="仿宋" w:eastAsia="仿宋" w:cs="仿宋"/>
          <w:b/>
          <w:bCs/>
          <w:sz w:val="28"/>
          <w:szCs w:val="28"/>
        </w:rPr>
        <w:instrText xml:space="preserve"> PAGEREF _Toc1622 \h </w:instrText>
      </w:r>
      <w:r>
        <w:rPr>
          <w:rFonts w:ascii="仿宋" w:hAnsi="仿宋" w:eastAsia="仿宋" w:cs="仿宋"/>
          <w:b/>
          <w:bCs/>
          <w:sz w:val="28"/>
          <w:szCs w:val="28"/>
        </w:rPr>
        <w:fldChar w:fldCharType="separate"/>
      </w:r>
      <w:r>
        <w:rPr>
          <w:rFonts w:ascii="仿宋" w:hAnsi="仿宋" w:eastAsia="仿宋" w:cs="仿宋"/>
          <w:b/>
          <w:bCs/>
          <w:sz w:val="28"/>
          <w:szCs w:val="28"/>
        </w:rPr>
        <w:t>1</w:t>
      </w:r>
      <w:r>
        <w:rPr>
          <w:rFonts w:ascii="仿宋" w:hAnsi="仿宋" w:eastAsia="仿宋" w:cs="仿宋"/>
          <w:b/>
          <w:bCs/>
          <w:sz w:val="28"/>
          <w:szCs w:val="28"/>
        </w:rPr>
        <w:fldChar w:fldCharType="end"/>
      </w:r>
      <w:r>
        <w:rPr>
          <w:rFonts w:ascii="仿宋" w:hAnsi="仿宋" w:eastAsia="仿宋" w:cs="仿宋"/>
          <w:b/>
          <w:bCs/>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"_Toc11651" </w:instrText>
      </w:r>
      <w:r>
        <w:fldChar w:fldCharType="separate"/>
      </w:r>
      <w:r>
        <w:rPr>
          <w:rFonts w:hint="eastAsia" w:ascii="仿宋" w:hAnsi="仿宋" w:eastAsia="仿宋" w:cs="仿宋"/>
          <w:sz w:val="28"/>
          <w:szCs w:val="28"/>
        </w:rPr>
        <w:t>一、 本部门职责</w:t>
      </w:r>
      <w:r>
        <w:rPr>
          <w:rFonts w:ascii="仿宋" w:hAnsi="仿宋" w:eastAsia="仿宋" w:cs="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_Toc11651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"_Toc20416" </w:instrText>
      </w:r>
      <w:r>
        <w:fldChar w:fldCharType="separate"/>
      </w:r>
      <w:r>
        <w:rPr>
          <w:rFonts w:hint="eastAsia" w:ascii="仿宋" w:hAnsi="仿宋" w:eastAsia="仿宋" w:cs="仿宋"/>
          <w:sz w:val="28"/>
          <w:szCs w:val="28"/>
        </w:rPr>
        <w:t>二、 机构设置情况</w:t>
      </w:r>
      <w:r>
        <w:rPr>
          <w:rFonts w:ascii="仿宋" w:hAnsi="仿宋" w:eastAsia="仿宋" w:cs="仿宋"/>
          <w:sz w:val="28"/>
          <w:szCs w:val="28"/>
        </w:rPr>
        <w:tab/>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pPr>
        <w:pStyle w:val="12"/>
        <w:keepNext w:val="0"/>
        <w:keepLines w:val="0"/>
        <w:pageBreakBefore w:val="0"/>
        <w:tabs>
          <w:tab w:val="right" w:leader="dot" w:pos="8306"/>
        </w:tabs>
        <w:kinsoku/>
        <w:overflowPunct/>
        <w:topLinePunct w:val="0"/>
        <w:bidi w:val="0"/>
        <w:snapToGrid/>
        <w:spacing w:line="240" w:lineRule="auto"/>
        <w:rPr>
          <w:rFonts w:ascii="仿宋" w:hAnsi="仿宋" w:eastAsia="仿宋" w:cs="仿宋"/>
          <w:b/>
          <w:bCs/>
          <w:sz w:val="28"/>
          <w:szCs w:val="28"/>
        </w:rPr>
      </w:pPr>
      <w:r>
        <w:fldChar w:fldCharType="begin"/>
      </w:r>
      <w:r>
        <w:instrText xml:space="preserve"> HYPERLINK \l "_Toc24752" </w:instrText>
      </w:r>
      <w:r>
        <w:fldChar w:fldCharType="separate"/>
      </w:r>
      <w:r>
        <w:rPr>
          <w:rFonts w:hint="eastAsia" w:ascii="仿宋" w:hAnsi="仿宋" w:eastAsia="仿宋" w:cs="仿宋"/>
          <w:b/>
          <w:bCs/>
          <w:sz w:val="28"/>
          <w:szCs w:val="28"/>
        </w:rPr>
        <w:t>第二部分  2021年度机关决算报表</w:t>
      </w:r>
      <w:r>
        <w:rPr>
          <w:rFonts w:ascii="仿宋" w:hAnsi="仿宋" w:eastAsia="仿宋" w:cs="仿宋"/>
          <w:b/>
          <w:bCs/>
          <w:sz w:val="28"/>
          <w:szCs w:val="28"/>
        </w:rPr>
        <w:tab/>
      </w:r>
      <w:r>
        <w:rPr>
          <w:rFonts w:hint="eastAsia" w:ascii="仿宋" w:hAnsi="仿宋" w:eastAsia="仿宋" w:cs="仿宋"/>
          <w:b/>
          <w:bCs/>
          <w:sz w:val="28"/>
          <w:szCs w:val="28"/>
          <w:lang w:val="en-US" w:eastAsia="zh-CN"/>
        </w:rPr>
        <w:t>4</w:t>
      </w:r>
      <w:r>
        <w:rPr>
          <w:rFonts w:ascii="仿宋" w:hAnsi="仿宋" w:eastAsia="仿宋" w:cs="仿宋"/>
          <w:b/>
          <w:bCs/>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"_Toc18969" </w:instrText>
      </w:r>
      <w:r>
        <w:rPr>
          <w:rFonts w:hint="eastAsia" w:ascii="仿宋" w:hAnsi="仿宋" w:eastAsia="仿宋" w:cs="仿宋"/>
        </w:rPr>
        <w:fldChar w:fldCharType="separate"/>
      </w:r>
      <w:r>
        <w:rPr>
          <w:rFonts w:hint="eastAsia" w:ascii="仿宋" w:hAnsi="仿宋" w:eastAsia="仿宋" w:cs="仿宋"/>
          <w:sz w:val="28"/>
          <w:szCs w:val="28"/>
        </w:rPr>
        <w:t>一、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"_Toc28574" </w:instrText>
      </w:r>
      <w:r>
        <w:fldChar w:fldCharType="separate"/>
      </w:r>
      <w:r>
        <w:rPr>
          <w:rFonts w:hint="eastAsia" w:ascii="仿宋" w:hAnsi="仿宋" w:eastAsia="仿宋" w:cs="仿宋"/>
          <w:sz w:val="28"/>
          <w:szCs w:val="28"/>
        </w:rPr>
        <w:t>二、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2021年收入决算表</w:t>
      </w:r>
      <w:r>
        <w:rPr>
          <w:rFonts w:ascii="仿宋" w:hAnsi="仿宋" w:eastAsia="仿宋" w:cs="仿宋"/>
          <w:sz w:val="28"/>
          <w:szCs w:val="28"/>
        </w:rPr>
        <w:tab/>
      </w:r>
      <w:r>
        <w:rPr>
          <w:rFonts w:hint="eastAsia" w:ascii="仿宋" w:hAnsi="仿宋" w:eastAsia="仿宋" w:cs="仿宋"/>
          <w:sz w:val="28"/>
          <w:szCs w:val="28"/>
          <w:lang w:val="en-US" w:eastAsia="zh-CN"/>
        </w:rPr>
        <w:t>5</w:t>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"_Toc30336" </w:instrText>
      </w:r>
      <w:r>
        <w:fldChar w:fldCharType="separate"/>
      </w:r>
      <w:r>
        <w:rPr>
          <w:rFonts w:hint="eastAsia" w:ascii="仿宋" w:hAnsi="仿宋" w:eastAsia="仿宋" w:cs="仿宋"/>
          <w:sz w:val="28"/>
          <w:szCs w:val="28"/>
        </w:rPr>
        <w:t>三、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2021年支出决算表</w:t>
      </w:r>
      <w:r>
        <w:rPr>
          <w:rFonts w:ascii="仿宋" w:hAnsi="仿宋" w:eastAsia="仿宋" w:cs="仿宋"/>
          <w:sz w:val="28"/>
          <w:szCs w:val="28"/>
        </w:rPr>
        <w:tab/>
      </w:r>
      <w:r>
        <w:rPr>
          <w:rFonts w:hint="eastAsia" w:ascii="仿宋" w:hAnsi="仿宋" w:eastAsia="仿宋" w:cs="仿宋"/>
          <w:sz w:val="28"/>
          <w:szCs w:val="28"/>
          <w:lang w:val="en-US" w:eastAsia="zh-CN"/>
        </w:rPr>
        <w:t>6</w:t>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"_Toc25974" </w:instrText>
      </w:r>
      <w:r>
        <w:fldChar w:fldCharType="separate"/>
      </w:r>
      <w:r>
        <w:rPr>
          <w:rFonts w:hint="eastAsia" w:ascii="仿宋" w:hAnsi="仿宋" w:eastAsia="仿宋" w:cs="仿宋"/>
          <w:sz w:val="28"/>
          <w:szCs w:val="28"/>
        </w:rPr>
        <w:t>四、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2021年财政拨款收入支出决算总表</w:t>
      </w:r>
      <w:r>
        <w:rPr>
          <w:rFonts w:ascii="仿宋" w:hAnsi="仿宋" w:eastAsia="仿宋" w:cs="仿宋"/>
          <w:sz w:val="28"/>
          <w:szCs w:val="28"/>
        </w:rPr>
        <w:tab/>
      </w:r>
      <w:r>
        <w:rPr>
          <w:rFonts w:hint="eastAsia" w:ascii="仿宋" w:hAnsi="仿宋" w:eastAsia="仿宋" w:cs="仿宋"/>
          <w:sz w:val="28"/>
          <w:szCs w:val="28"/>
          <w:lang w:val="en-US" w:eastAsia="zh-CN"/>
        </w:rPr>
        <w:t>7</w:t>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"_Toc4084" </w:instrText>
      </w:r>
      <w:r>
        <w:fldChar w:fldCharType="separate"/>
      </w:r>
      <w:r>
        <w:rPr>
          <w:rFonts w:hint="eastAsia" w:ascii="仿宋" w:hAnsi="仿宋" w:eastAsia="仿宋" w:cs="仿宋"/>
          <w:sz w:val="28"/>
          <w:szCs w:val="28"/>
        </w:rPr>
        <w:t>五、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2021年一般公共预算财政拨款支出决算表（一）</w:t>
      </w:r>
      <w:r>
        <w:rPr>
          <w:rFonts w:ascii="仿宋" w:hAnsi="仿宋" w:eastAsia="仿宋" w:cs="仿宋"/>
          <w:sz w:val="28"/>
          <w:szCs w:val="28"/>
        </w:rPr>
        <w:tab/>
      </w:r>
      <w:r>
        <w:rPr>
          <w:rFonts w:hint="eastAsia" w:ascii="仿宋" w:hAnsi="仿宋" w:eastAsia="仿宋" w:cs="仿宋"/>
          <w:sz w:val="28"/>
          <w:szCs w:val="28"/>
          <w:lang w:val="en-US" w:eastAsia="zh-CN"/>
        </w:rPr>
        <w:t>8</w:t>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ascii="仿宋" w:hAnsi="仿宋" w:eastAsia="仿宋" w:cs="仿宋"/>
          <w:sz w:val="28"/>
          <w:szCs w:val="28"/>
        </w:rPr>
      </w:pPr>
      <w:r>
        <w:fldChar w:fldCharType="begin"/>
      </w:r>
      <w:r>
        <w:instrText xml:space="preserve"> HYPERLINK \l "_Toc25546" </w:instrText>
      </w:r>
      <w:r>
        <w:fldChar w:fldCharType="separate"/>
      </w:r>
      <w:r>
        <w:rPr>
          <w:rFonts w:hint="eastAsia" w:ascii="仿宋" w:hAnsi="仿宋" w:eastAsia="仿宋" w:cs="仿宋"/>
          <w:sz w:val="28"/>
          <w:szCs w:val="28"/>
        </w:rPr>
        <w:t>六、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2021年一般公共预算财政拨款支出决算表（二）</w:t>
      </w:r>
      <w:r>
        <w:rPr>
          <w:rFonts w:ascii="仿宋" w:hAnsi="仿宋" w:eastAsia="仿宋" w:cs="仿宋"/>
          <w:sz w:val="28"/>
          <w:szCs w:val="28"/>
        </w:rPr>
        <w:tab/>
      </w:r>
      <w:r>
        <w:rPr>
          <w:rFonts w:hint="eastAsia" w:ascii="仿宋" w:hAnsi="仿宋" w:eastAsia="仿宋" w:cs="仿宋"/>
          <w:sz w:val="28"/>
          <w:szCs w:val="28"/>
          <w:lang w:val="en-US" w:eastAsia="zh-CN"/>
        </w:rPr>
        <w:t>9</w:t>
      </w:r>
      <w:r>
        <w:rPr>
          <w:rFonts w:ascii="仿宋" w:hAnsi="仿宋" w:eastAsia="仿宋" w:cs="仿宋"/>
          <w:sz w:val="28"/>
          <w:szCs w:val="28"/>
        </w:rPr>
        <w:fldChar w:fldCharType="end"/>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"_Toc517" </w:instrText>
      </w:r>
      <w:r>
        <w:fldChar w:fldCharType="separate"/>
      </w:r>
      <w:r>
        <w:rPr>
          <w:rFonts w:hint="eastAsia" w:ascii="仿宋" w:hAnsi="仿宋" w:eastAsia="仿宋" w:cs="仿宋"/>
          <w:sz w:val="28"/>
          <w:szCs w:val="28"/>
        </w:rPr>
        <w:t>七、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2021年一般公共预算财政拨款“三公”经费支出决算表</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0</w:t>
      </w:r>
    </w:p>
    <w:p>
      <w:pPr>
        <w:pStyle w:val="13"/>
        <w:keepNext w:val="0"/>
        <w:keepLines w:val="0"/>
        <w:pageBreakBefore w:val="0"/>
        <w:tabs>
          <w:tab w:val="right" w:leader="dot" w:pos="8306"/>
        </w:tabs>
        <w:kinsoku/>
        <w:overflowPunct/>
        <w:topLinePunct w:val="0"/>
        <w:bidi w:val="0"/>
        <w:snapToGrid/>
        <w:spacing w:line="240" w:lineRule="auto"/>
        <w:ind w:left="420"/>
        <w:rPr>
          <w:rFonts w:hint="default" w:ascii="仿宋" w:hAnsi="仿宋" w:eastAsia="仿宋" w:cs="仿宋"/>
          <w:sz w:val="28"/>
          <w:szCs w:val="28"/>
          <w:lang w:val="en-US" w:eastAsia="zh-CN"/>
        </w:rPr>
      </w:pPr>
      <w:r>
        <w:rPr>
          <w:rFonts w:hint="eastAsia" w:eastAsia="仿宋"/>
          <w:lang w:val="en-US" w:eastAsia="zh-CN"/>
        </w:rPr>
        <w:t>10</w:t>
      </w:r>
    </w:p>
    <w:p>
      <w:pPr>
        <w:pStyle w:val="13"/>
        <w:keepNext w:val="0"/>
        <w:keepLines w:val="0"/>
        <w:pageBreakBefore w:val="0"/>
        <w:tabs>
          <w:tab w:val="right" w:leader="dot" w:pos="8306"/>
        </w:tabs>
        <w:kinsoku/>
        <w:overflowPunct/>
        <w:topLinePunct w:val="0"/>
        <w:bidi w:val="0"/>
        <w:snapToGrid/>
        <w:spacing w:line="240" w:lineRule="auto"/>
        <w:ind w:left="420"/>
        <w:sectPr>
          <w:footerReference r:id="rId3" w:type="default"/>
          <w:pgSz w:w="11906" w:h="16838"/>
          <w:pgMar w:top="1440" w:right="1800" w:bottom="1440" w:left="1800" w:header="851" w:footer="992" w:gutter="0"/>
          <w:pgNumType w:fmt="decimal"/>
          <w:cols w:space="425" w:num="1"/>
          <w:docGrid w:type="lines" w:linePitch="312" w:charSpace="0"/>
        </w:sectPr>
      </w:pP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"_Toc20976" </w:instrText>
      </w:r>
      <w:r>
        <w:fldChar w:fldCharType="separate"/>
      </w:r>
      <w:r>
        <w:rPr>
          <w:rFonts w:hint="eastAsia" w:ascii="仿宋" w:hAnsi="仿宋" w:eastAsia="仿宋" w:cs="仿宋"/>
          <w:sz w:val="28"/>
          <w:szCs w:val="28"/>
        </w:rPr>
        <w:t>九、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t>2021年国有资本经营预算财政拨款支出决算表</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1</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"_Toc1980" </w:instrText>
      </w:r>
      <w:r>
        <w:fldChar w:fldCharType="separate"/>
      </w:r>
      <w:r>
        <w:rPr>
          <w:rFonts w:hint="eastAsia" w:ascii="仿宋" w:hAnsi="仿宋" w:eastAsia="仿宋" w:cs="仿宋"/>
          <w:sz w:val="28"/>
          <w:szCs w:val="28"/>
        </w:rPr>
        <w:t>十、 山西省吕梁市离石区</w:t>
      </w:r>
      <w:r>
        <w:rPr>
          <w:rFonts w:hint="eastAsia" w:ascii="仿宋" w:hAnsi="仿宋" w:eastAsia="仿宋" w:cs="仿宋"/>
          <w:sz w:val="28"/>
          <w:szCs w:val="28"/>
          <w:lang w:eastAsia="zh-CN"/>
        </w:rPr>
        <w:t>文化和旅游局</w:t>
      </w:r>
      <w:r>
        <w:rPr>
          <w:rFonts w:hint="eastAsia" w:ascii="仿宋" w:hAnsi="仿宋" w:eastAsia="仿宋" w:cs="仿宋"/>
          <w:sz w:val="28"/>
          <w:szCs w:val="28"/>
        </w:rPr>
        <w:fldChar w:fldCharType="end"/>
      </w:r>
      <w:r>
        <w:fldChar w:fldCharType="begin"/>
      </w:r>
      <w:r>
        <w:instrText xml:space="preserve"> HYPERLINK \l "_Toc30140" </w:instrText>
      </w:r>
      <w:r>
        <w:fldChar w:fldCharType="separate"/>
      </w:r>
      <w:r>
        <w:rPr>
          <w:rFonts w:hint="eastAsia" w:ascii="仿宋" w:hAnsi="仿宋" w:eastAsia="仿宋" w:cs="仿宋"/>
          <w:sz w:val="28"/>
          <w:szCs w:val="28"/>
        </w:rPr>
        <w:t>2021年决算公开相关信息统计表</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12"/>
        <w:keepNext w:val="0"/>
        <w:keepLines w:val="0"/>
        <w:pageBreakBefore w:val="0"/>
        <w:tabs>
          <w:tab w:val="right" w:leader="dot" w:pos="8306"/>
        </w:tabs>
        <w:kinsoku/>
        <w:overflowPunct/>
        <w:topLinePunct w:val="0"/>
        <w:bidi w:val="0"/>
        <w:snapToGrid/>
        <w:spacing w:line="240" w:lineRule="auto"/>
        <w:rPr>
          <w:rFonts w:hint="eastAsia" w:ascii="仿宋" w:hAnsi="仿宋" w:eastAsia="仿宋" w:cs="仿宋"/>
          <w:sz w:val="28"/>
          <w:szCs w:val="28"/>
          <w:lang w:val="en-US" w:eastAsia="zh-CN"/>
        </w:rPr>
      </w:pPr>
      <w:r>
        <w:fldChar w:fldCharType="begin"/>
      </w:r>
      <w:r>
        <w:instrText xml:space="preserve"> HYPERLINK \l "_Toc3458" </w:instrText>
      </w:r>
      <w:r>
        <w:fldChar w:fldCharType="separate"/>
      </w:r>
      <w:r>
        <w:rPr>
          <w:rFonts w:hint="eastAsia" w:ascii="仿宋" w:hAnsi="仿宋" w:eastAsia="仿宋" w:cs="仿宋"/>
          <w:b/>
          <w:bCs/>
          <w:sz w:val="28"/>
          <w:szCs w:val="28"/>
        </w:rPr>
        <w:t>第三部分  2021年度机关决算情况说明</w:t>
      </w:r>
      <w:r>
        <w:rPr>
          <w:rFonts w:ascii="仿宋" w:hAnsi="仿宋" w:eastAsia="仿宋" w:cs="仿宋"/>
          <w:b/>
          <w:bCs/>
          <w:sz w:val="28"/>
          <w:szCs w:val="28"/>
        </w:rPr>
        <w:tab/>
      </w:r>
      <w:r>
        <w:rPr>
          <w:rFonts w:hint="eastAsia" w:ascii="仿宋" w:hAnsi="仿宋" w:eastAsia="仿宋" w:cs="仿宋"/>
          <w:b/>
          <w:bCs/>
          <w:sz w:val="28"/>
          <w:szCs w:val="28"/>
          <w:lang w:val="en-US" w:eastAsia="zh-CN"/>
        </w:rPr>
        <w:t>1</w:t>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3</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"_Toc12558" </w:instrText>
      </w:r>
      <w:r>
        <w:fldChar w:fldCharType="separate"/>
      </w:r>
      <w:r>
        <w:rPr>
          <w:rFonts w:hint="eastAsia" w:ascii="仿宋" w:hAnsi="仿宋" w:eastAsia="仿宋" w:cs="仿宋"/>
          <w:sz w:val="28"/>
          <w:szCs w:val="28"/>
        </w:rPr>
        <w:t>一、 2021年度机关决算数据变动情况及原因</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"_Toc5441" </w:instrText>
      </w:r>
      <w:r>
        <w:fldChar w:fldCharType="separate"/>
      </w:r>
      <w:r>
        <w:rPr>
          <w:rFonts w:hint="eastAsia" w:ascii="仿宋" w:hAnsi="仿宋" w:eastAsia="仿宋" w:cs="仿宋"/>
          <w:sz w:val="28"/>
          <w:szCs w:val="28"/>
        </w:rPr>
        <w:t>二、 “三公”经费决算增减变动情况说明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"_Toc3535" </w:instrText>
      </w:r>
      <w:r>
        <w:fldChar w:fldCharType="separate"/>
      </w:r>
      <w:r>
        <w:rPr>
          <w:rFonts w:hint="eastAsia" w:ascii="仿宋" w:hAnsi="仿宋" w:eastAsia="仿宋" w:cs="仿宋"/>
          <w:sz w:val="28"/>
          <w:szCs w:val="28"/>
        </w:rPr>
        <w:t>三、 机关运行经费增减变动原因说明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"_Toc16292" </w:instrText>
      </w:r>
      <w:r>
        <w:fldChar w:fldCharType="separate"/>
      </w:r>
      <w:r>
        <w:rPr>
          <w:rFonts w:hint="eastAsia" w:ascii="仿宋" w:hAnsi="仿宋" w:eastAsia="仿宋" w:cs="仿宋"/>
          <w:sz w:val="28"/>
          <w:szCs w:val="28"/>
        </w:rPr>
        <w:t>四、 政府采购情况说明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"_Toc30428" </w:instrText>
      </w:r>
      <w:r>
        <w:fldChar w:fldCharType="separate"/>
      </w:r>
      <w:r>
        <w:rPr>
          <w:rFonts w:hint="eastAsia" w:ascii="仿宋" w:hAnsi="仿宋" w:eastAsia="仿宋" w:cs="仿宋"/>
          <w:sz w:val="28"/>
          <w:szCs w:val="28"/>
        </w:rPr>
        <w:t>五、 预算绩效情况说明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"_Toc19842" </w:instrText>
      </w:r>
      <w:r>
        <w:fldChar w:fldCharType="separate"/>
      </w:r>
      <w:r>
        <w:rPr>
          <w:rFonts w:hint="eastAsia" w:ascii="仿宋" w:hAnsi="仿宋" w:eastAsia="仿宋" w:cs="仿宋"/>
          <w:sz w:val="28"/>
          <w:szCs w:val="28"/>
        </w:rPr>
        <w:t>六、 国有资产占用情况说明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13"/>
        <w:keepNext w:val="0"/>
        <w:keepLines w:val="0"/>
        <w:pageBreakBefore w:val="0"/>
        <w:tabs>
          <w:tab w:val="right" w:leader="dot" w:pos="8306"/>
        </w:tabs>
        <w:kinsoku/>
        <w:overflowPunct/>
        <w:topLinePunct w:val="0"/>
        <w:bidi w:val="0"/>
        <w:snapToGrid/>
        <w:spacing w:line="240" w:lineRule="auto"/>
        <w:ind w:left="420"/>
        <w:rPr>
          <w:rFonts w:hint="eastAsia" w:ascii="仿宋" w:hAnsi="仿宋" w:eastAsia="仿宋" w:cs="仿宋"/>
          <w:sz w:val="28"/>
          <w:szCs w:val="28"/>
          <w:lang w:val="en-US" w:eastAsia="zh-CN"/>
        </w:rPr>
      </w:pPr>
      <w:r>
        <w:fldChar w:fldCharType="begin"/>
      </w:r>
      <w:r>
        <w:instrText xml:space="preserve"> HYPERLINK \l "_Toc27988" </w:instrText>
      </w:r>
      <w:r>
        <w:fldChar w:fldCharType="separate"/>
      </w:r>
      <w:r>
        <w:rPr>
          <w:rFonts w:hint="eastAsia" w:ascii="仿宋" w:hAnsi="仿宋" w:eastAsia="仿宋" w:cs="仿宋"/>
          <w:sz w:val="28"/>
          <w:szCs w:val="28"/>
        </w:rPr>
        <w:t>七、 其他说明</w:t>
      </w:r>
      <w:r>
        <w:rPr>
          <w:rFonts w:ascii="仿宋" w:hAnsi="仿宋" w:eastAsia="仿宋" w:cs="仿宋"/>
          <w:sz w:val="28"/>
          <w:szCs w:val="28"/>
        </w:rPr>
        <w:tab/>
      </w:r>
      <w:r>
        <w:rPr>
          <w:rFonts w:hint="eastAsia" w:ascii="仿宋" w:hAnsi="仿宋" w:eastAsia="仿宋" w:cs="仿宋"/>
          <w:sz w:val="28"/>
          <w:szCs w:val="28"/>
          <w:lang w:val="en-US" w:eastAsia="zh-CN"/>
        </w:rPr>
        <w:t>1</w:t>
      </w:r>
      <w:r>
        <w:rPr>
          <w:rFonts w:ascii="仿宋" w:hAnsi="仿宋" w:eastAsia="仿宋" w:cs="仿宋"/>
          <w:sz w:val="28"/>
          <w:szCs w:val="28"/>
        </w:rPr>
        <w:fldChar w:fldCharType="end"/>
      </w:r>
      <w:r>
        <w:rPr>
          <w:rFonts w:hint="eastAsia" w:ascii="仿宋" w:hAnsi="仿宋" w:eastAsia="仿宋" w:cs="仿宋"/>
          <w:sz w:val="28"/>
          <w:szCs w:val="28"/>
          <w:lang w:val="en-US" w:eastAsia="zh-CN"/>
        </w:rPr>
        <w:t>9</w:t>
      </w:r>
      <w:bookmarkStart w:id="0" w:name="_GoBack"/>
      <w:bookmarkEnd w:id="0"/>
    </w:p>
    <w:p>
      <w:pPr>
        <w:pStyle w:val="12"/>
        <w:keepNext w:val="0"/>
        <w:keepLines w:val="0"/>
        <w:pageBreakBefore w:val="0"/>
        <w:tabs>
          <w:tab w:val="right" w:leader="dot" w:pos="8306"/>
        </w:tabs>
        <w:kinsoku/>
        <w:overflowPunct/>
        <w:topLinePunct w:val="0"/>
        <w:bidi w:val="0"/>
        <w:snapToGrid/>
        <w:spacing w:line="240" w:lineRule="auto"/>
        <w:rPr>
          <w:rFonts w:hint="eastAsia" w:ascii="仿宋" w:hAnsi="仿宋" w:eastAsia="仿宋" w:cs="仿宋"/>
          <w:sz w:val="28"/>
          <w:szCs w:val="28"/>
          <w:lang w:val="en-US" w:eastAsia="zh-CN"/>
        </w:rPr>
      </w:pPr>
      <w:r>
        <w:fldChar w:fldCharType="begin"/>
      </w:r>
      <w:r>
        <w:instrText xml:space="preserve"> HYPERLINK \l "_Toc6272" </w:instrText>
      </w:r>
      <w:r>
        <w:fldChar w:fldCharType="separate"/>
      </w:r>
      <w:r>
        <w:rPr>
          <w:rFonts w:hint="eastAsia" w:ascii="仿宋" w:hAnsi="仿宋" w:eastAsia="仿宋" w:cs="仿宋"/>
          <w:b/>
          <w:bCs/>
          <w:sz w:val="28"/>
          <w:szCs w:val="28"/>
        </w:rPr>
        <w:t>第四部分  名词解释</w:t>
      </w:r>
      <w:r>
        <w:rPr>
          <w:rFonts w:ascii="仿宋" w:hAnsi="仿宋" w:eastAsia="仿宋" w:cs="仿宋"/>
          <w:b/>
          <w:bCs/>
          <w:sz w:val="28"/>
          <w:szCs w:val="28"/>
        </w:rPr>
        <w:tab/>
      </w:r>
      <w:r>
        <w:rPr>
          <w:rFonts w:hint="eastAsia" w:ascii="仿宋" w:hAnsi="仿宋" w:eastAsia="仿宋" w:cs="仿宋"/>
          <w:b/>
          <w:bCs/>
          <w:sz w:val="28"/>
          <w:szCs w:val="28"/>
          <w:lang w:val="en-US" w:eastAsia="zh-CN"/>
        </w:rPr>
        <w:t>2</w:t>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0</w:t>
      </w: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r>
        <w:rPr>
          <w:rFonts w:hint="eastAsia" w:ascii="仿宋" w:hAnsi="仿宋" w:eastAsia="仿宋" w:cs="仿宋"/>
          <w:sz w:val="28"/>
          <w:szCs w:val="28"/>
        </w:rPr>
        <w:fldChar w:fldCharType="end"/>
      </w: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both"/>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both"/>
        <w:textAlignment w:val="bottom"/>
        <w:rPr>
          <w:rFonts w:ascii="仿宋" w:hAnsi="仿宋" w:eastAsia="仿宋" w:cs="仿宋"/>
          <w:sz w:val="28"/>
          <w:szCs w:val="28"/>
        </w:r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hint="eastAsia" w:ascii="黑体" w:hAnsi="Calibri" w:eastAsia="黑体"/>
          <w:b/>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hint="eastAsia" w:ascii="黑体" w:hAnsi="Calibri" w:eastAsia="黑体"/>
          <w:b/>
          <w:sz w:val="36"/>
          <w:szCs w:val="36"/>
        </w:rPr>
      </w:pPr>
      <w:r>
        <w:rPr>
          <w:rFonts w:hint="eastAsia" w:ascii="黑体" w:hAnsi="Calibri" w:eastAsia="黑体"/>
          <w:b/>
          <w:sz w:val="36"/>
          <w:szCs w:val="36"/>
        </w:rPr>
        <w:t>离石区</w:t>
      </w:r>
      <w:r>
        <w:rPr>
          <w:rFonts w:hint="eastAsia" w:ascii="黑体" w:hAnsi="Calibri" w:eastAsia="黑体"/>
          <w:b/>
          <w:sz w:val="36"/>
          <w:szCs w:val="36"/>
          <w:lang w:eastAsia="zh-CN"/>
        </w:rPr>
        <w:t>文化和旅游局</w:t>
      </w:r>
      <w:r>
        <w:rPr>
          <w:rFonts w:hint="eastAsia" w:ascii="黑体" w:hAnsi="Calibri" w:eastAsia="黑体"/>
          <w:b/>
          <w:sz w:val="36"/>
          <w:szCs w:val="36"/>
        </w:rPr>
        <w:t>2021年部门决算及“三公”经费信息公开说明</w:t>
      </w:r>
    </w:p>
    <w:p>
      <w:pPr>
        <w:pStyle w:val="5"/>
        <w:keepNext w:val="0"/>
        <w:keepLines w:val="0"/>
        <w:pageBreakBefore w:val="0"/>
        <w:shd w:val="clear" w:color="auto" w:fill="FFFFFF"/>
        <w:kinsoku/>
        <w:overflowPunct/>
        <w:topLinePunct w:val="0"/>
        <w:bidi w:val="0"/>
        <w:snapToGrid/>
        <w:spacing w:before="0" w:beforeAutospacing="0" w:after="0" w:afterAutospacing="0" w:line="240" w:lineRule="auto"/>
        <w:jc w:val="center"/>
        <w:textAlignment w:val="bottom"/>
        <w:rPr>
          <w:rFonts w:hint="eastAsia" w:ascii="黑体" w:hAnsi="Calibri" w:eastAsia="黑体"/>
          <w:b/>
          <w:sz w:val="36"/>
          <w:szCs w:val="36"/>
        </w:rPr>
      </w:pP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ascii="仿宋_GB2312" w:hAnsi="Calibri" w:eastAsia="仿宋_GB2312" w:cs="Times New Roman"/>
          <w:sz w:val="32"/>
          <w:szCs w:val="32"/>
        </w:rPr>
      </w:pPr>
      <w:r>
        <w:rPr>
          <w:rFonts w:hint="eastAsia" w:ascii="仿宋_GB2312" w:hAnsi="Calibri" w:eastAsia="仿宋_GB2312" w:cs="Times New Roman"/>
          <w:sz w:val="32"/>
          <w:szCs w:val="32"/>
        </w:rPr>
        <w:t>根据《中华人民共和国预算法》《吕梁市离石区人民政府办公室关于做好全区预（决）算和“三公”经费信息公开工作的通知》（离政办发〔2014〕130号）《吕梁市离石区财政局关于转发&lt;吕梁市财政局关于进一步推进全市预决算信息公开工作的通知&gt;的通知》（离财预〔2016〕112号）《离石区财政局关于转发&lt;财政部关于印发&lt;地方预决算公开操作规程&gt;的通知&gt;的通知》（离财预〔2016〕373号）《吕梁市离石区财政局关于批复20</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年度部门决算的通知》（离财库〔2022〕4003号）文件的要求，现将我单位2021年决算信息公开如下：</w:t>
      </w:r>
    </w:p>
    <w:p>
      <w:pPr>
        <w:keepNext w:val="0"/>
        <w:keepLines w:val="0"/>
        <w:pageBreakBefore w:val="0"/>
        <w:widowControl/>
        <w:shd w:val="clear" w:color="auto" w:fill="FFFFFF"/>
        <w:kinsoku/>
        <w:wordWrap w:val="0"/>
        <w:overflowPunct/>
        <w:topLinePunct w:val="0"/>
        <w:bidi w:val="0"/>
        <w:snapToGrid/>
        <w:spacing w:before="210" w:after="210" w:line="240" w:lineRule="auto"/>
        <w:ind w:firstLine="562"/>
        <w:rPr>
          <w:rFonts w:ascii="黑体" w:hAnsi="黑体" w:eastAsia="黑体" w:cs="黑体"/>
          <w:b w:val="0"/>
          <w:bCs/>
          <w:color w:val="000000"/>
          <w:sz w:val="32"/>
          <w:szCs w:val="32"/>
        </w:rPr>
      </w:pPr>
      <w:r>
        <w:rPr>
          <w:rFonts w:hint="eastAsia" w:ascii="黑体" w:hAnsi="黑体" w:eastAsia="黑体" w:cs="黑体"/>
          <w:b/>
          <w:color w:val="000000"/>
          <w:kern w:val="0"/>
          <w:sz w:val="32"/>
          <w:szCs w:val="32"/>
          <w:shd w:val="clear" w:color="auto" w:fill="FFFFFF"/>
          <w:lang w:bidi="ar"/>
        </w:rPr>
        <w:t xml:space="preserve">             </w:t>
      </w:r>
      <w:r>
        <w:rPr>
          <w:rFonts w:hint="eastAsia" w:ascii="黑体" w:hAnsi="黑体" w:eastAsia="黑体" w:cs="黑体"/>
          <w:b w:val="0"/>
          <w:bCs/>
          <w:color w:val="000000"/>
          <w:kern w:val="0"/>
          <w:sz w:val="32"/>
          <w:szCs w:val="32"/>
          <w:shd w:val="clear" w:color="auto" w:fill="FFFFFF"/>
          <w:lang w:bidi="ar"/>
        </w:rPr>
        <w:t>第一部分   部门概况</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一、基本职责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1、</w:t>
      </w:r>
      <w:r>
        <w:rPr>
          <w:rStyle w:val="9"/>
          <w:rFonts w:hint="eastAsia" w:ascii="仿宋" w:hAnsi="仿宋" w:eastAsia="仿宋" w:cs="仿宋"/>
          <w:b w:val="0"/>
          <w:bCs w:val="0"/>
          <w:i w:val="0"/>
          <w:iCs w:val="0"/>
          <w:caps w:val="0"/>
          <w:color w:val="auto"/>
          <w:spacing w:val="0"/>
          <w:sz w:val="32"/>
          <w:szCs w:val="32"/>
          <w:shd w:val="clear" w:color="auto" w:fill="FFFFFF"/>
        </w:rPr>
        <w:t>贯彻执行国家、省、市文化、文物、旅游广播工作的各项方针、政策和法律、法规、规章，结合我区实际，制定规范性文件并监督实施。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2、</w:t>
      </w:r>
      <w:r>
        <w:rPr>
          <w:rStyle w:val="9"/>
          <w:rFonts w:hint="eastAsia" w:ascii="仿宋" w:hAnsi="仿宋" w:eastAsia="仿宋" w:cs="仿宋"/>
          <w:b w:val="0"/>
          <w:bCs w:val="0"/>
          <w:i w:val="0"/>
          <w:iCs w:val="0"/>
          <w:caps w:val="0"/>
          <w:color w:val="auto"/>
          <w:spacing w:val="0"/>
          <w:sz w:val="32"/>
          <w:szCs w:val="32"/>
          <w:shd w:val="clear" w:color="auto" w:fill="FFFFFF"/>
        </w:rPr>
        <w:t>统筹规划文化事业、文化产业和旅游业发展，拟订发展规划并组织实施，推进文化和旅游融合发展，推进文化和旅游体制机制改革。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3、</w:t>
      </w:r>
      <w:r>
        <w:rPr>
          <w:rStyle w:val="9"/>
          <w:rFonts w:hint="eastAsia" w:ascii="仿宋" w:hAnsi="仿宋" w:eastAsia="仿宋" w:cs="仿宋"/>
          <w:b w:val="0"/>
          <w:bCs w:val="0"/>
          <w:i w:val="0"/>
          <w:iCs w:val="0"/>
          <w:caps w:val="0"/>
          <w:color w:val="auto"/>
          <w:spacing w:val="0"/>
          <w:sz w:val="32"/>
          <w:szCs w:val="32"/>
          <w:shd w:val="clear" w:color="auto" w:fill="FFFFFF"/>
        </w:rPr>
        <w:t>管理全国性重大文化活动，指导我区重点文化设施建设，组织我区旅游整体形象推广，促进文化产业和旅游产业对外合作市场推广，制定旅游市场开发战略并组织实施，指导、推进全域旅游。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4、</w:t>
      </w:r>
      <w:r>
        <w:rPr>
          <w:rStyle w:val="9"/>
          <w:rFonts w:hint="eastAsia" w:ascii="仿宋" w:hAnsi="仿宋" w:eastAsia="仿宋" w:cs="仿宋"/>
          <w:b w:val="0"/>
          <w:bCs w:val="0"/>
          <w:i w:val="0"/>
          <w:iCs w:val="0"/>
          <w:caps w:val="0"/>
          <w:color w:val="auto"/>
          <w:spacing w:val="0"/>
          <w:sz w:val="32"/>
          <w:szCs w:val="32"/>
          <w:shd w:val="clear" w:color="auto" w:fill="FFFFFF"/>
        </w:rPr>
        <w:t>指导、管理文艺事业，指导艺术创作生产，扶持体现社会主义核心价值观、具有导向性代表性示范性的文艺作品，推动各门类艺术、各艺术品种发展。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5、</w:t>
      </w:r>
      <w:r>
        <w:rPr>
          <w:rStyle w:val="9"/>
          <w:rFonts w:hint="eastAsia" w:ascii="仿宋" w:hAnsi="仿宋" w:eastAsia="仿宋" w:cs="仿宋"/>
          <w:b w:val="0"/>
          <w:bCs w:val="0"/>
          <w:i w:val="0"/>
          <w:iCs w:val="0"/>
          <w:caps w:val="0"/>
          <w:color w:val="auto"/>
          <w:spacing w:val="0"/>
          <w:sz w:val="32"/>
          <w:szCs w:val="32"/>
          <w:shd w:val="clear" w:color="auto" w:fill="FFFFFF"/>
        </w:rPr>
        <w:t>负责公共文化事业发展，推进公共文化服务体系建设和旅游公共服务建设，深入实施文化惠民工程，统筹推进基本公共文化服务标准化。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6、</w:t>
      </w:r>
      <w:r>
        <w:rPr>
          <w:rStyle w:val="9"/>
          <w:rFonts w:hint="eastAsia" w:ascii="仿宋" w:hAnsi="仿宋" w:eastAsia="仿宋" w:cs="仿宋"/>
          <w:b w:val="0"/>
          <w:bCs w:val="0"/>
          <w:i w:val="0"/>
          <w:iCs w:val="0"/>
          <w:caps w:val="0"/>
          <w:color w:val="auto"/>
          <w:spacing w:val="0"/>
          <w:sz w:val="32"/>
          <w:szCs w:val="32"/>
          <w:shd w:val="clear" w:color="auto" w:fill="FFFFFF"/>
        </w:rPr>
        <w:t>指导、推进文化和旅游科技创新发展，推进文化和旅游行业信息化、标准化建设。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7、</w:t>
      </w:r>
      <w:r>
        <w:rPr>
          <w:rStyle w:val="9"/>
          <w:rFonts w:hint="eastAsia" w:ascii="仿宋" w:hAnsi="仿宋" w:eastAsia="仿宋" w:cs="仿宋"/>
          <w:b w:val="0"/>
          <w:bCs w:val="0"/>
          <w:i w:val="0"/>
          <w:iCs w:val="0"/>
          <w:caps w:val="0"/>
          <w:color w:val="auto"/>
          <w:spacing w:val="0"/>
          <w:sz w:val="32"/>
          <w:szCs w:val="32"/>
          <w:shd w:val="clear" w:color="auto" w:fill="FFFFFF"/>
        </w:rPr>
        <w:t>负责非物质文化遗产保护，推动非物质文化遗产的保护、传承、普及、弘扬和振兴。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8、</w:t>
      </w:r>
      <w:r>
        <w:rPr>
          <w:rStyle w:val="9"/>
          <w:rFonts w:hint="eastAsia" w:ascii="仿宋" w:hAnsi="仿宋" w:eastAsia="仿宋" w:cs="仿宋"/>
          <w:b w:val="0"/>
          <w:bCs w:val="0"/>
          <w:i w:val="0"/>
          <w:iCs w:val="0"/>
          <w:caps w:val="0"/>
          <w:color w:val="auto"/>
          <w:spacing w:val="0"/>
          <w:sz w:val="32"/>
          <w:szCs w:val="32"/>
          <w:shd w:val="clear" w:color="auto" w:fill="FFFFFF"/>
        </w:rPr>
        <w:t>统筹规划文化产业和旅游产业，组织实施文化和旅游资源普查、挖掘、保护和利用工作，促进文化产业和旅游产业发展。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9、</w:t>
      </w:r>
      <w:r>
        <w:rPr>
          <w:rStyle w:val="9"/>
          <w:rFonts w:hint="eastAsia" w:ascii="仿宋" w:hAnsi="仿宋" w:eastAsia="仿宋" w:cs="仿宋"/>
          <w:b w:val="0"/>
          <w:bCs w:val="0"/>
          <w:i w:val="0"/>
          <w:iCs w:val="0"/>
          <w:caps w:val="0"/>
          <w:color w:val="auto"/>
          <w:spacing w:val="0"/>
          <w:sz w:val="32"/>
          <w:szCs w:val="32"/>
          <w:shd w:val="clear" w:color="auto" w:fill="FFFFFF"/>
        </w:rPr>
        <w:t>指导文化和旅游市场发展，对文化和旅游市场经营进行行业监管，推进文化和旅游行业信用体系建设，依法规范文化和旅游市场。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30" w:beforeAutospacing="0" w:after="30" w:afterAutospacing="0" w:line="240" w:lineRule="auto"/>
        <w:ind w:right="0" w:firstLine="640" w:firstLineChars="200"/>
        <w:jc w:val="both"/>
        <w:rPr>
          <w:rFonts w:hint="eastAsia" w:ascii="仿宋" w:hAnsi="仿宋" w:eastAsia="仿宋" w:cs="仿宋"/>
          <w:i w:val="0"/>
          <w:iCs w:val="0"/>
          <w:caps w:val="0"/>
          <w:color w:val="auto"/>
          <w:spacing w:val="0"/>
          <w:sz w:val="32"/>
          <w:szCs w:val="32"/>
          <w:lang w:eastAsia="zh-CN"/>
        </w:rPr>
      </w:pPr>
      <w:r>
        <w:rPr>
          <w:rStyle w:val="9"/>
          <w:rFonts w:hint="eastAsia" w:ascii="仿宋" w:hAnsi="仿宋" w:eastAsia="仿宋" w:cs="仿宋"/>
          <w:b w:val="0"/>
          <w:bCs w:val="0"/>
          <w:i w:val="0"/>
          <w:iCs w:val="0"/>
          <w:caps w:val="0"/>
          <w:color w:val="auto"/>
          <w:spacing w:val="0"/>
          <w:sz w:val="32"/>
          <w:szCs w:val="32"/>
          <w:shd w:val="clear" w:color="auto" w:fill="FFFFFF"/>
          <w:lang w:val="en-US" w:eastAsia="zh-CN"/>
        </w:rPr>
        <w:t>10、</w:t>
      </w:r>
      <w:r>
        <w:rPr>
          <w:rStyle w:val="9"/>
          <w:rFonts w:hint="eastAsia" w:ascii="仿宋" w:hAnsi="仿宋" w:eastAsia="仿宋" w:cs="仿宋"/>
          <w:b w:val="0"/>
          <w:bCs w:val="0"/>
          <w:i w:val="0"/>
          <w:iCs w:val="0"/>
          <w:caps w:val="0"/>
          <w:color w:val="auto"/>
          <w:spacing w:val="0"/>
          <w:sz w:val="32"/>
          <w:szCs w:val="32"/>
          <w:shd w:val="clear" w:color="auto" w:fill="FFFFFF"/>
        </w:rPr>
        <w:t>承办区委、区政府交办的其他工作</w:t>
      </w:r>
      <w:r>
        <w:rPr>
          <w:rStyle w:val="9"/>
          <w:rFonts w:hint="eastAsia" w:ascii="仿宋" w:hAnsi="仿宋" w:eastAsia="仿宋" w:cs="仿宋"/>
          <w:b w:val="0"/>
          <w:bCs w:val="0"/>
          <w:i w:val="0"/>
          <w:iCs w:val="0"/>
          <w:caps w:val="0"/>
          <w:color w:val="auto"/>
          <w:spacing w:val="0"/>
          <w:sz w:val="32"/>
          <w:szCs w:val="32"/>
          <w:shd w:val="clear" w:color="auto" w:fill="FFFFFF"/>
          <w:lang w:eastAsia="zh-CN"/>
        </w:rPr>
        <w:t>。</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hint="eastAsia" w:ascii="仿宋_GB2312" w:hAnsi="Calibri" w:eastAsia="仿宋_GB2312" w:cs="Times New Roman"/>
          <w:b/>
          <w:bCs/>
          <w:sz w:val="32"/>
          <w:szCs w:val="32"/>
        </w:rPr>
      </w:pP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ascii="仿宋_GB2312" w:hAnsi="Calibri" w:eastAsia="仿宋_GB2312" w:cs="Times New Roman"/>
          <w:b/>
          <w:bCs/>
          <w:sz w:val="32"/>
          <w:szCs w:val="32"/>
        </w:rPr>
      </w:pPr>
      <w:r>
        <w:rPr>
          <w:rFonts w:hint="eastAsia" w:ascii="仿宋_GB2312" w:hAnsi="Calibri" w:eastAsia="仿宋_GB2312" w:cs="Times New Roman"/>
          <w:b/>
          <w:bCs/>
          <w:sz w:val="32"/>
          <w:szCs w:val="32"/>
        </w:rPr>
        <w:t>二、机构设置</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（一）机构情况</w:t>
      </w:r>
    </w:p>
    <w:p>
      <w:pPr>
        <w:keepNext w:val="0"/>
        <w:keepLines w:val="0"/>
        <w:pageBreakBefore w:val="0"/>
        <w:kinsoku/>
        <w:overflowPunct/>
        <w:topLinePunct w:val="0"/>
        <w:bidi w:val="0"/>
        <w:snapToGrid/>
        <w:spacing w:line="240" w:lineRule="auto"/>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Style w:val="9"/>
          <w:rFonts w:hint="eastAsia" w:ascii="仿宋" w:hAnsi="仿宋" w:eastAsia="仿宋" w:cs="仿宋"/>
          <w:b w:val="0"/>
          <w:bCs w:val="0"/>
          <w:i w:val="0"/>
          <w:iCs w:val="0"/>
          <w:caps w:val="0"/>
          <w:color w:val="auto"/>
          <w:spacing w:val="0"/>
          <w:sz w:val="32"/>
          <w:szCs w:val="32"/>
          <w:shd w:val="clear" w:color="auto" w:fill="FFFFFF"/>
        </w:rPr>
        <w:t>离石区文化和旅游局位于离石区龙山路769号三号楼一层。1958年10月设立离石县文化局，2019年3月行政单位机构改革后把区文物旅游开发中心承担的行政职能整合组建为离石区文化和旅游局，属正科级建制，是区人民政府组成部门。内设个机构4个：综合办公室、文化股、文物股、旅游股。下设单位1个：离石区文化旅游综合服务中心</w:t>
      </w:r>
      <w:r>
        <w:rPr>
          <w:rStyle w:val="9"/>
          <w:rFonts w:hint="eastAsia" w:ascii="仿宋" w:hAnsi="仿宋" w:eastAsia="仿宋" w:cs="仿宋"/>
          <w:b w:val="0"/>
          <w:bCs w:val="0"/>
          <w:i w:val="0"/>
          <w:iCs w:val="0"/>
          <w:caps w:val="0"/>
          <w:color w:val="auto"/>
          <w:spacing w:val="0"/>
          <w:sz w:val="32"/>
          <w:szCs w:val="32"/>
          <w:shd w:val="clear" w:color="auto" w:fill="FFFFFF"/>
          <w:lang w:eastAsia="zh-CN"/>
        </w:rPr>
        <w:t>。</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rPr>
        <w:t>（二）编制及领导职</w:t>
      </w:r>
      <w:r>
        <w:rPr>
          <w:rFonts w:hint="eastAsia" w:ascii="仿宋_GB2312" w:hAnsi="Calibri" w:eastAsia="仿宋_GB2312" w:cs="Times New Roman"/>
          <w:b/>
          <w:bCs/>
          <w:sz w:val="32"/>
          <w:szCs w:val="32"/>
          <w:lang w:eastAsia="zh-CN"/>
        </w:rPr>
        <w:t>数</w:t>
      </w:r>
    </w:p>
    <w:p>
      <w:pPr>
        <w:keepNext w:val="0"/>
        <w:keepLines w:val="0"/>
        <w:pageBreakBefore w:val="0"/>
        <w:kinsoku/>
        <w:overflowPunct/>
        <w:topLinePunct w:val="0"/>
        <w:bidi w:val="0"/>
        <w:snapToGrid/>
        <w:spacing w:line="240" w:lineRule="auto"/>
        <w:ind w:firstLine="640" w:firstLineChars="200"/>
        <w:rPr>
          <w:rStyle w:val="9"/>
          <w:rFonts w:hint="eastAsia" w:ascii="仿宋" w:hAnsi="仿宋" w:eastAsia="仿宋" w:cs="仿宋"/>
          <w:i w:val="0"/>
          <w:iCs w:val="0"/>
          <w:caps w:val="0"/>
          <w:color w:val="auto"/>
          <w:spacing w:val="0"/>
          <w:sz w:val="32"/>
          <w:szCs w:val="32"/>
          <w:shd w:val="clear" w:color="auto" w:fill="FFFFFF"/>
        </w:rPr>
      </w:pPr>
      <w:r>
        <w:rPr>
          <w:rStyle w:val="9"/>
          <w:rFonts w:hint="eastAsia" w:ascii="仿宋" w:hAnsi="仿宋" w:eastAsia="仿宋" w:cs="仿宋"/>
          <w:i w:val="0"/>
          <w:iCs w:val="0"/>
          <w:caps w:val="0"/>
          <w:color w:val="auto"/>
          <w:spacing w:val="0"/>
          <w:sz w:val="32"/>
          <w:szCs w:val="32"/>
          <w:shd w:val="clear" w:color="auto" w:fill="FFFFFF"/>
        </w:rPr>
        <w:t>局机关行政编制6个，其中科级领导职数2名，党组书记1名，局长1名，副局长1名，三级主任科员1名，2个股级。</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ascii="仿宋_GB2312" w:hAnsi="Calibri" w:eastAsia="仿宋_GB2312" w:cs="Times New Roman"/>
          <w:b/>
          <w:bCs/>
          <w:sz w:val="32"/>
          <w:szCs w:val="32"/>
        </w:rPr>
      </w:pPr>
      <w:r>
        <w:rPr>
          <w:rFonts w:hint="eastAsia" w:ascii="仿宋_GB2312" w:hAnsi="Calibri" w:eastAsia="仿宋_GB2312" w:cs="Times New Roman"/>
          <w:b/>
          <w:bCs/>
          <w:sz w:val="32"/>
          <w:szCs w:val="32"/>
        </w:rPr>
        <w:t>（三）部门决算单位构成</w:t>
      </w:r>
    </w:p>
    <w:p>
      <w:pPr>
        <w:keepNext w:val="0"/>
        <w:keepLines w:val="0"/>
        <w:pageBreakBefore w:val="0"/>
        <w:kinsoku/>
        <w:overflowPunct/>
        <w:topLinePunct w:val="0"/>
        <w:bidi w:val="0"/>
        <w:snapToGrid/>
        <w:spacing w:line="240" w:lineRule="auto"/>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sz w:val="32"/>
          <w:szCs w:val="32"/>
        </w:rPr>
        <w:t>本部门2021年决算</w:t>
      </w:r>
      <w:r>
        <w:rPr>
          <w:rFonts w:hint="eastAsia" w:ascii="仿宋_GB2312" w:hAnsi="Calibri" w:eastAsia="仿宋_GB2312" w:cs="Times New Roman"/>
          <w:sz w:val="32"/>
          <w:szCs w:val="32"/>
          <w:lang w:eastAsia="zh-CN"/>
        </w:rPr>
        <w:t>包括</w:t>
      </w:r>
      <w:r>
        <w:rPr>
          <w:rFonts w:hint="eastAsia" w:ascii="仿宋" w:hAnsi="仿宋" w:eastAsia="仿宋" w:cs="仿宋"/>
          <w:i w:val="0"/>
          <w:iCs w:val="0"/>
          <w:caps w:val="0"/>
          <w:color w:val="auto"/>
          <w:spacing w:val="0"/>
          <w:kern w:val="0"/>
          <w:sz w:val="32"/>
          <w:szCs w:val="32"/>
          <w:shd w:val="clear" w:color="auto" w:fill="FFFFFF"/>
          <w:lang w:val="en-US" w:eastAsia="zh-CN" w:bidi="ar"/>
        </w:rPr>
        <w:t>本机关及下属单位预算。</w:t>
      </w: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2454" w:firstLineChars="767"/>
        <w:rPr>
          <w:rFonts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第二部分   部门决算报表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一、收入支出决算总表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二、收入决算表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五、一般公共预算财政拨款支出决算表（一）</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六、一般公共预算财政拨款支出决算表（二）</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keepNext w:val="0"/>
        <w:keepLines w:val="0"/>
        <w:pageBreakBefore w:val="0"/>
        <w:widowControl/>
        <w:shd w:val="clear" w:color="auto" w:fill="FFFFFF"/>
        <w:kinsoku/>
        <w:overflowPunct/>
        <w:topLinePunct w:val="0"/>
        <w:bidi w:val="0"/>
        <w:snapToGrid/>
        <w:spacing w:line="240" w:lineRule="auto"/>
        <w:ind w:firstLine="643" w:firstLineChars="200"/>
        <w:textAlignment w:val="bottom"/>
        <w:rPr>
          <w:rFonts w:ascii="仿宋_GB2312" w:hAnsi="Calibri" w:eastAsia="仿宋_GB2312" w:cs="Times New Roman"/>
          <w:b/>
          <w:bCs/>
          <w:sz w:val="32"/>
          <w:szCs w:val="32"/>
        </w:rPr>
      </w:pPr>
      <w:r>
        <w:rPr>
          <w:rFonts w:hint="eastAsia" w:ascii="仿宋" w:hAnsi="仿宋" w:eastAsia="仿宋" w:cs="仿宋"/>
          <w:b/>
          <w:bCs/>
          <w:sz w:val="32"/>
          <w:szCs w:val="32"/>
        </w:rPr>
        <w:t>说明：我单位没有使用国有资本经营预算财政拨款安排的支出，故本表无数据</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ascii="黑体" w:hAnsi="黑体" w:eastAsia="黑体" w:cs="黑体"/>
          <w:b/>
          <w:color w:val="000000"/>
          <w:kern w:val="0"/>
          <w:sz w:val="32"/>
          <w:szCs w:val="32"/>
          <w:shd w:val="clear" w:color="auto" w:fill="FFFFFF"/>
          <w:lang w:bidi="ar"/>
        </w:rPr>
      </w:pPr>
      <w:r>
        <w:rPr>
          <w:rFonts w:hint="eastAsia" w:ascii="仿宋_GB2312" w:hAnsi="Calibri" w:eastAsia="仿宋_GB2312" w:cs="Times New Roman"/>
          <w:sz w:val="32"/>
          <w:szCs w:val="32"/>
        </w:rPr>
        <w:t>十、部门决算公开相关信息统计表</w:t>
      </w: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hint="eastAsia" w:ascii="黑体" w:hAnsi="黑体" w:eastAsia="黑体" w:cs="黑体"/>
          <w:b w:val="0"/>
          <w:bCs/>
          <w:color w:val="000000"/>
          <w:kern w:val="0"/>
          <w:sz w:val="32"/>
          <w:szCs w:val="32"/>
          <w:shd w:val="clear" w:color="auto" w:fill="FFFFFF"/>
          <w:lang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hd w:val="clear" w:color="auto" w:fill="FFFFFF"/>
        <w:kinsoku/>
        <w:wordWrap w:val="0"/>
        <w:overflowPunct/>
        <w:topLinePunct w:val="0"/>
        <w:bidi w:val="0"/>
        <w:snapToGrid/>
        <w:spacing w:before="210" w:after="210" w:line="240" w:lineRule="auto"/>
        <w:ind w:firstLine="1814" w:firstLineChars="567"/>
        <w:rPr>
          <w:rFonts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第三部分    2021年收支决算情况说明</w:t>
      </w:r>
    </w:p>
    <w:p>
      <w:pPr>
        <w:keepNext w:val="0"/>
        <w:keepLines w:val="0"/>
        <w:pageBreakBefore w:val="0"/>
        <w:kinsoku/>
        <w:overflowPunct/>
        <w:topLinePunct w:val="0"/>
        <w:bidi w:val="0"/>
        <w:snapToGrid/>
        <w:spacing w:line="240" w:lineRule="auto"/>
        <w:ind w:firstLine="640"/>
        <w:rPr>
          <w:rFonts w:hint="eastAsia" w:ascii="黑体" w:hAnsi="黑体" w:eastAsia="黑体" w:cs="黑体"/>
          <w:b w:val="0"/>
          <w:bCs/>
          <w:sz w:val="32"/>
          <w:szCs w:val="32"/>
        </w:rPr>
      </w:pPr>
      <w:r>
        <w:rPr>
          <w:rFonts w:hint="eastAsia" w:ascii="黑体" w:hAnsi="黑体" w:eastAsia="黑体" w:cs="黑体"/>
          <w:b w:val="0"/>
          <w:bCs/>
          <w:sz w:val="32"/>
          <w:szCs w:val="32"/>
        </w:rPr>
        <w:t>一、2021年度机关</w:t>
      </w:r>
      <w:r>
        <w:rPr>
          <w:rFonts w:hint="eastAsia" w:ascii="黑体" w:hAnsi="黑体" w:eastAsia="黑体" w:cs="黑体"/>
          <w:b w:val="0"/>
          <w:bCs/>
          <w:sz w:val="32"/>
          <w:szCs w:val="32"/>
          <w:lang w:eastAsia="zh-CN"/>
        </w:rPr>
        <w:t>收支</w:t>
      </w:r>
      <w:r>
        <w:rPr>
          <w:rFonts w:hint="eastAsia" w:ascii="黑体" w:hAnsi="黑体" w:eastAsia="黑体" w:cs="黑体"/>
          <w:b w:val="0"/>
          <w:bCs/>
          <w:sz w:val="32"/>
          <w:szCs w:val="32"/>
        </w:rPr>
        <w:t>决算情况</w:t>
      </w:r>
    </w:p>
    <w:p>
      <w:pPr>
        <w:ind w:firstLine="64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一</w:t>
      </w:r>
      <w:r>
        <w:rPr>
          <w:rFonts w:hint="eastAsia" w:ascii="仿宋" w:hAnsi="仿宋" w:eastAsia="仿宋" w:cs="仿宋"/>
          <w:b/>
          <w:sz w:val="32"/>
          <w:szCs w:val="32"/>
          <w:lang w:eastAsia="zh-CN"/>
        </w:rPr>
        <w:t>）</w:t>
      </w:r>
      <w:r>
        <w:rPr>
          <w:rFonts w:hint="eastAsia" w:ascii="仿宋" w:hAnsi="仿宋" w:eastAsia="仿宋" w:cs="仿宋"/>
          <w:b/>
          <w:sz w:val="32"/>
          <w:szCs w:val="32"/>
        </w:rPr>
        <w:t>收入支出决算总体情况说明</w:t>
      </w:r>
    </w:p>
    <w:p>
      <w:pPr>
        <w:ind w:firstLine="640"/>
        <w:rPr>
          <w:rFonts w:hint="eastAsia" w:ascii="仿宋" w:hAnsi="仿宋" w:eastAsia="仿宋" w:cs="仿宋"/>
          <w:sz w:val="32"/>
          <w:szCs w:val="32"/>
        </w:rPr>
      </w:pPr>
      <w:r>
        <w:rPr>
          <w:rFonts w:hint="eastAsia" w:ascii="仿宋_GB2312" w:hAnsi="Calibri" w:eastAsia="仿宋_GB2312" w:cs="Times New Roman"/>
          <w:kern w:val="2"/>
          <w:sz w:val="32"/>
          <w:szCs w:val="32"/>
          <w:lang w:val="en-US" w:eastAsia="zh-CN" w:bidi="ar-SA"/>
        </w:rPr>
        <w:t>2021年收入总计3185.76万元，</w:t>
      </w:r>
      <w:r>
        <w:rPr>
          <w:rFonts w:hint="default" w:ascii="仿宋_GB2312" w:hAnsi="Calibri" w:eastAsia="仿宋_GB2312" w:cs="Times New Roman"/>
          <w:kern w:val="2"/>
          <w:sz w:val="32"/>
          <w:szCs w:val="32"/>
          <w:lang w:val="en-US" w:eastAsia="zh-CN" w:bidi="ar-SA"/>
        </w:rPr>
        <w:t>其</w:t>
      </w:r>
      <w:r>
        <w:rPr>
          <w:rFonts w:hint="eastAsia" w:ascii="仿宋_GB2312" w:hAnsi="Calibri" w:eastAsia="仿宋_GB2312" w:cs="Times New Roman"/>
          <w:kern w:val="2"/>
          <w:sz w:val="32"/>
          <w:szCs w:val="32"/>
          <w:lang w:val="en-US" w:eastAsia="zh-CN" w:bidi="ar-SA"/>
        </w:rPr>
        <w:t>中：</w:t>
      </w:r>
      <w:r>
        <w:rPr>
          <w:rFonts w:hint="default" w:ascii="仿宋_GB2312" w:hAnsi="Calibri" w:eastAsia="仿宋_GB2312" w:cs="Times New Roman"/>
          <w:kern w:val="2"/>
          <w:sz w:val="32"/>
          <w:szCs w:val="32"/>
          <w:lang w:val="en-US" w:eastAsia="zh-CN" w:bidi="ar-SA"/>
        </w:rPr>
        <w:t>本年收入合计</w:t>
      </w:r>
      <w:r>
        <w:rPr>
          <w:rFonts w:hint="eastAsia" w:ascii="仿宋_GB2312" w:hAnsi="Calibri" w:eastAsia="仿宋_GB2312" w:cs="Times New Roman"/>
          <w:kern w:val="2"/>
          <w:sz w:val="32"/>
          <w:szCs w:val="32"/>
          <w:lang w:val="en-US" w:eastAsia="zh-CN" w:bidi="ar-SA"/>
        </w:rPr>
        <w:t>1534.00</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年初结转和结余</w:t>
      </w:r>
      <w:r>
        <w:rPr>
          <w:rFonts w:hint="eastAsia" w:ascii="仿宋_GB2312" w:hAnsi="Calibri" w:eastAsia="仿宋_GB2312" w:cs="Times New Roman"/>
          <w:kern w:val="2"/>
          <w:sz w:val="32"/>
          <w:szCs w:val="32"/>
          <w:lang w:val="en-US" w:eastAsia="zh-CN" w:bidi="ar-SA"/>
        </w:rPr>
        <w:t>1651.76</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，与2020年相比，收入总计增加699.51万元，</w:t>
      </w:r>
      <w:r>
        <w:rPr>
          <w:rFonts w:hint="eastAsia" w:ascii="仿宋" w:hAnsi="仿宋" w:eastAsia="仿宋" w:cs="仿宋"/>
          <w:i w:val="0"/>
          <w:iCs w:val="0"/>
          <w:caps w:val="0"/>
          <w:color w:val="auto"/>
          <w:spacing w:val="0"/>
          <w:sz w:val="32"/>
          <w:szCs w:val="32"/>
          <w:shd w:val="clear" w:color="auto" w:fill="FFFFFF"/>
          <w:lang w:val="en-US" w:eastAsia="zh-CN"/>
        </w:rPr>
        <w:t>同比增加28.14%</w:t>
      </w:r>
      <w:r>
        <w:rPr>
          <w:rFonts w:hint="eastAsia" w:ascii="仿宋_GB2312" w:hAnsi="Calibri" w:eastAsia="仿宋_GB2312" w:cs="Times New Roman"/>
          <w:kern w:val="2"/>
          <w:sz w:val="32"/>
          <w:szCs w:val="32"/>
          <w:lang w:val="en-US" w:eastAsia="zh-CN" w:bidi="ar-SA"/>
        </w:rPr>
        <w:t>，</w:t>
      </w:r>
      <w:r>
        <w:rPr>
          <w:rFonts w:hint="eastAsia" w:ascii="仿宋" w:hAnsi="仿宋" w:eastAsia="仿宋" w:cs="仿宋"/>
          <w:i w:val="0"/>
          <w:iCs w:val="0"/>
          <w:caps w:val="0"/>
          <w:color w:val="auto"/>
          <w:spacing w:val="0"/>
          <w:sz w:val="32"/>
          <w:szCs w:val="32"/>
          <w:shd w:val="clear" w:color="auto" w:fill="FFFFFF"/>
          <w:lang w:val="en-US" w:eastAsia="zh-CN"/>
        </w:rPr>
        <w:t>变动原因主要为：</w:t>
      </w:r>
      <w:r>
        <w:rPr>
          <w:rFonts w:hint="eastAsia" w:ascii="仿宋" w:hAnsi="仿宋" w:eastAsia="仿宋" w:cs="仿宋"/>
          <w:i w:val="0"/>
          <w:iCs w:val="0"/>
          <w:caps w:val="0"/>
          <w:color w:val="000000"/>
          <w:spacing w:val="0"/>
          <w:sz w:val="32"/>
          <w:szCs w:val="32"/>
          <w:shd w:val="clear" w:color="auto" w:fill="FFFFFF"/>
          <w:lang w:val="en-US" w:eastAsia="zh-CN"/>
        </w:rPr>
        <w:t>2021年机构改革，下属单位并回，</w:t>
      </w:r>
      <w:r>
        <w:rPr>
          <w:rFonts w:hint="default" w:ascii="仿宋_GB2312" w:hAnsi="Calibri" w:eastAsia="仿宋_GB2312" w:cs="Times New Roman"/>
          <w:kern w:val="2"/>
          <w:sz w:val="32"/>
          <w:szCs w:val="32"/>
          <w:lang w:val="en-US" w:eastAsia="zh-CN" w:bidi="ar-SA"/>
        </w:rPr>
        <w:t>年初结转和结余</w:t>
      </w:r>
      <w:r>
        <w:rPr>
          <w:rFonts w:hint="eastAsia" w:ascii="仿宋" w:hAnsi="仿宋" w:eastAsia="仿宋" w:cs="仿宋"/>
          <w:i w:val="0"/>
          <w:iCs w:val="0"/>
          <w:caps w:val="0"/>
          <w:color w:val="000000"/>
          <w:spacing w:val="0"/>
          <w:sz w:val="32"/>
          <w:szCs w:val="32"/>
          <w:shd w:val="clear" w:color="auto" w:fill="FFFFFF"/>
          <w:lang w:val="en-US" w:eastAsia="zh-CN"/>
        </w:rPr>
        <w:t>增加</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2021年支出总计3185.76万元，</w:t>
      </w:r>
      <w:r>
        <w:rPr>
          <w:rFonts w:hint="default" w:ascii="仿宋_GB2312" w:hAnsi="Calibri" w:eastAsia="仿宋_GB2312" w:cs="Times New Roman"/>
          <w:kern w:val="2"/>
          <w:sz w:val="32"/>
          <w:szCs w:val="32"/>
          <w:lang w:val="en-US" w:eastAsia="zh-CN" w:bidi="ar-SA"/>
        </w:rPr>
        <w:t>其中：本年支出合计</w:t>
      </w:r>
      <w:r>
        <w:rPr>
          <w:rFonts w:hint="eastAsia" w:ascii="仿宋_GB2312" w:hAnsi="Calibri" w:eastAsia="仿宋_GB2312" w:cs="Times New Roman"/>
          <w:kern w:val="2"/>
          <w:sz w:val="32"/>
          <w:szCs w:val="32"/>
          <w:lang w:val="en-US" w:eastAsia="zh-CN" w:bidi="ar-SA"/>
        </w:rPr>
        <w:t>1625.7</w:t>
      </w:r>
      <w:r>
        <w:rPr>
          <w:rFonts w:hint="default" w:ascii="仿宋_GB2312" w:hAnsi="Calibri" w:eastAsia="仿宋_GB2312" w:cs="Times New Roman"/>
          <w:kern w:val="2"/>
          <w:sz w:val="32"/>
          <w:szCs w:val="32"/>
          <w:lang w:val="en-US" w:eastAsia="zh-CN" w:bidi="ar-SA"/>
        </w:rPr>
        <w:t>万元、年末结转和结余</w:t>
      </w:r>
      <w:r>
        <w:rPr>
          <w:rFonts w:hint="eastAsia" w:ascii="仿宋_GB2312" w:hAnsi="Calibri" w:eastAsia="仿宋_GB2312" w:cs="Times New Roman"/>
          <w:kern w:val="2"/>
          <w:sz w:val="32"/>
          <w:szCs w:val="32"/>
          <w:lang w:val="en-US" w:eastAsia="zh-CN" w:bidi="ar-SA"/>
        </w:rPr>
        <w:t>1560.06</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与2020年相比，支出总计增加699.51万元，</w:t>
      </w:r>
      <w:r>
        <w:rPr>
          <w:rFonts w:hint="eastAsia" w:ascii="仿宋" w:hAnsi="仿宋" w:eastAsia="仿宋" w:cs="仿宋"/>
          <w:i w:val="0"/>
          <w:iCs w:val="0"/>
          <w:caps w:val="0"/>
          <w:color w:val="auto"/>
          <w:spacing w:val="0"/>
          <w:sz w:val="32"/>
          <w:szCs w:val="32"/>
          <w:shd w:val="clear" w:color="auto" w:fill="FFFFFF"/>
          <w:lang w:val="en-US" w:eastAsia="zh-CN"/>
        </w:rPr>
        <w:t>同比增加28.14%</w:t>
      </w:r>
      <w:r>
        <w:rPr>
          <w:rFonts w:hint="eastAsia" w:ascii="仿宋_GB2312" w:hAnsi="Calibri" w:eastAsia="仿宋_GB2312" w:cs="Times New Roman"/>
          <w:kern w:val="2"/>
          <w:sz w:val="32"/>
          <w:szCs w:val="32"/>
          <w:lang w:val="en-US" w:eastAsia="zh-CN" w:bidi="ar-SA"/>
        </w:rPr>
        <w:t>，</w:t>
      </w:r>
      <w:r>
        <w:rPr>
          <w:rFonts w:hint="eastAsia" w:ascii="仿宋" w:hAnsi="仿宋" w:eastAsia="仿宋" w:cs="仿宋"/>
          <w:i w:val="0"/>
          <w:iCs w:val="0"/>
          <w:caps w:val="0"/>
          <w:color w:val="auto"/>
          <w:spacing w:val="0"/>
          <w:sz w:val="32"/>
          <w:szCs w:val="32"/>
          <w:shd w:val="clear" w:color="auto" w:fill="FFFFFF"/>
          <w:lang w:val="en-US" w:eastAsia="zh-CN"/>
        </w:rPr>
        <w:t>变动原因主要为：</w:t>
      </w:r>
      <w:r>
        <w:rPr>
          <w:rFonts w:hint="eastAsia" w:ascii="仿宋" w:hAnsi="仿宋" w:eastAsia="仿宋" w:cs="仿宋"/>
          <w:i w:val="0"/>
          <w:iCs w:val="0"/>
          <w:caps w:val="0"/>
          <w:color w:val="000000"/>
          <w:spacing w:val="0"/>
          <w:sz w:val="32"/>
          <w:szCs w:val="32"/>
          <w:shd w:val="clear" w:color="auto" w:fill="FFFFFF"/>
          <w:lang w:val="en-US" w:eastAsia="zh-CN"/>
        </w:rPr>
        <w:t>2021年机构改革，下属单位并回，</w:t>
      </w:r>
      <w:r>
        <w:rPr>
          <w:rFonts w:hint="default" w:ascii="仿宋_GB2312" w:hAnsi="Calibri" w:eastAsia="仿宋_GB2312" w:cs="Times New Roman"/>
          <w:kern w:val="2"/>
          <w:sz w:val="32"/>
          <w:szCs w:val="32"/>
          <w:lang w:val="en-US" w:eastAsia="zh-CN" w:bidi="ar-SA"/>
        </w:rPr>
        <w:t>年末结转和结余</w:t>
      </w:r>
      <w:r>
        <w:rPr>
          <w:rFonts w:hint="eastAsia" w:ascii="仿宋" w:hAnsi="仿宋" w:eastAsia="仿宋" w:cs="仿宋"/>
          <w:i w:val="0"/>
          <w:iCs w:val="0"/>
          <w:caps w:val="0"/>
          <w:color w:val="000000"/>
          <w:spacing w:val="0"/>
          <w:sz w:val="32"/>
          <w:szCs w:val="32"/>
          <w:shd w:val="clear" w:color="auto" w:fill="FFFFFF"/>
          <w:lang w:val="en-US" w:eastAsia="zh-CN"/>
        </w:rPr>
        <w:t>增加</w:t>
      </w:r>
      <w:r>
        <w:rPr>
          <w:rFonts w:hint="eastAsia" w:ascii="仿宋" w:hAnsi="仿宋" w:eastAsia="仿宋" w:cs="仿宋"/>
          <w:i w:val="0"/>
          <w:iCs w:val="0"/>
          <w:caps w:val="0"/>
          <w:color w:val="auto"/>
          <w:spacing w:val="0"/>
          <w:sz w:val="32"/>
          <w:szCs w:val="32"/>
          <w:shd w:val="clear" w:color="auto" w:fill="FFFFFF"/>
          <w:lang w:val="en-US" w:eastAsia="zh-CN"/>
        </w:rPr>
        <w:t>。</w:t>
      </w:r>
    </w:p>
    <w:p>
      <w:pPr>
        <w:keepNext w:val="0"/>
        <w:keepLines w:val="0"/>
        <w:pageBreakBefore w:val="0"/>
        <w:kinsoku/>
        <w:overflowPunct/>
        <w:topLinePunct w:val="0"/>
        <w:bidi w:val="0"/>
        <w:snapToGrid/>
        <w:spacing w:line="240" w:lineRule="auto"/>
        <w:ind w:firstLine="640"/>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收入决算情况说明</w:t>
      </w:r>
    </w:p>
    <w:p>
      <w:pPr>
        <w:widowControl/>
        <w:shd w:val="clear" w:color="auto" w:fill="FFFFFF"/>
        <w:spacing w:line="560" w:lineRule="exact"/>
        <w:ind w:firstLine="640" w:firstLineChars="200"/>
        <w:textAlignment w:val="bottom"/>
        <w:rPr>
          <w:rFonts w:hint="eastAsia" w:ascii="仿宋_GB2312" w:hAnsi="Calibri" w:eastAsia="仿宋_GB2312" w:cs="Times New Roman"/>
          <w:sz w:val="32"/>
          <w:szCs w:val="32"/>
          <w:lang w:val="en-US" w:eastAsia="zh-CN"/>
        </w:rPr>
      </w:pPr>
      <w:r>
        <w:rPr>
          <w:rFonts w:hint="eastAsia" w:ascii="仿宋" w:hAnsi="仿宋" w:eastAsia="仿宋" w:cs="仿宋"/>
          <w:i w:val="0"/>
          <w:iCs w:val="0"/>
          <w:caps w:val="0"/>
          <w:color w:val="auto"/>
          <w:spacing w:val="0"/>
          <w:sz w:val="32"/>
          <w:szCs w:val="32"/>
          <w:shd w:val="clear" w:color="auto" w:fill="FFFFFF"/>
        </w:rPr>
        <w:t>20</w:t>
      </w:r>
      <w:r>
        <w:rPr>
          <w:rFonts w:hint="eastAsia" w:ascii="仿宋" w:hAnsi="仿宋" w:eastAsia="仿宋" w:cs="仿宋"/>
          <w:i w:val="0"/>
          <w:iCs w:val="0"/>
          <w:caps w:val="0"/>
          <w:color w:val="auto"/>
          <w:spacing w:val="0"/>
          <w:sz w:val="32"/>
          <w:szCs w:val="32"/>
          <w:shd w:val="clear" w:color="auto" w:fill="FFFFFF"/>
          <w:lang w:val="en-US" w:eastAsia="zh-CN"/>
        </w:rPr>
        <w:t>21</w:t>
      </w:r>
      <w:r>
        <w:rPr>
          <w:rFonts w:hint="eastAsia" w:ascii="仿宋" w:hAnsi="仿宋" w:eastAsia="仿宋" w:cs="仿宋"/>
          <w:i w:val="0"/>
          <w:iCs w:val="0"/>
          <w:caps w:val="0"/>
          <w:color w:val="auto"/>
          <w:spacing w:val="0"/>
          <w:sz w:val="32"/>
          <w:szCs w:val="32"/>
          <w:shd w:val="clear" w:color="auto" w:fill="FFFFFF"/>
        </w:rPr>
        <w:t>年收入决算</w:t>
      </w:r>
      <w:r>
        <w:rPr>
          <w:rFonts w:hint="eastAsia" w:ascii="仿宋" w:hAnsi="仿宋" w:eastAsia="仿宋" w:cs="仿宋"/>
          <w:i w:val="0"/>
          <w:iCs w:val="0"/>
          <w:caps w:val="0"/>
          <w:color w:val="auto"/>
          <w:spacing w:val="0"/>
          <w:sz w:val="32"/>
          <w:szCs w:val="32"/>
          <w:shd w:val="clear" w:color="auto" w:fill="FFFFFF"/>
          <w:lang w:eastAsia="zh-CN"/>
        </w:rPr>
        <w:t>合计</w:t>
      </w:r>
      <w:r>
        <w:rPr>
          <w:rFonts w:hint="eastAsia" w:ascii="仿宋" w:hAnsi="仿宋" w:eastAsia="仿宋" w:cs="仿宋"/>
          <w:i w:val="0"/>
          <w:iCs w:val="0"/>
          <w:caps w:val="0"/>
          <w:color w:val="auto"/>
          <w:spacing w:val="0"/>
          <w:sz w:val="32"/>
          <w:szCs w:val="32"/>
          <w:shd w:val="clear" w:color="auto" w:fill="FFFFFF"/>
          <w:lang w:val="en-US" w:eastAsia="zh-CN"/>
        </w:rPr>
        <w:t>1534.00</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lang w:eastAsia="zh-CN"/>
        </w:rPr>
        <w:t>，其中：</w:t>
      </w:r>
      <w:r>
        <w:rPr>
          <w:rFonts w:hint="eastAsia" w:ascii="仿宋_GB2312" w:hAnsi="Calibri" w:eastAsia="仿宋_GB2312" w:cs="Times New Roman"/>
          <w:sz w:val="32"/>
          <w:szCs w:val="32"/>
          <w:lang w:val="en-US" w:eastAsia="zh-CN"/>
        </w:rPr>
        <w:t>财政拨款收入</w:t>
      </w:r>
      <w:r>
        <w:rPr>
          <w:rFonts w:hint="eastAsia" w:ascii="仿宋" w:hAnsi="仿宋" w:eastAsia="仿宋" w:cs="仿宋"/>
          <w:i w:val="0"/>
          <w:iCs w:val="0"/>
          <w:caps w:val="0"/>
          <w:color w:val="auto"/>
          <w:spacing w:val="0"/>
          <w:sz w:val="32"/>
          <w:szCs w:val="32"/>
          <w:shd w:val="clear" w:color="auto" w:fill="FFFFFF"/>
          <w:lang w:val="en-US" w:eastAsia="zh-CN"/>
        </w:rPr>
        <w:t>1534.00</w:t>
      </w:r>
      <w:r>
        <w:rPr>
          <w:rFonts w:hint="eastAsia" w:ascii="仿宋_GB2312" w:hAnsi="Calibri" w:eastAsia="仿宋_GB2312" w:cs="Times New Roman"/>
          <w:sz w:val="32"/>
          <w:szCs w:val="32"/>
          <w:lang w:val="en-US" w:eastAsia="zh-CN"/>
        </w:rPr>
        <w:t>万元，占比100%。</w:t>
      </w:r>
      <w:r>
        <w:rPr>
          <w:rFonts w:hint="eastAsia" w:ascii="仿宋_GB2312" w:hAnsi="Calibri" w:eastAsia="仿宋_GB2312" w:cs="Times New Roman"/>
          <w:sz w:val="32"/>
          <w:szCs w:val="32"/>
        </w:rPr>
        <w:t>上级补助收入0万元，占比0%；事业收入0万元，占比0%；经营收入0万元，占比0%；附属单位上缴收入0万元，占比0%；其他收入0万元，占比0%。</w:t>
      </w:r>
    </w:p>
    <w:p>
      <w:pPr>
        <w:keepNext w:val="0"/>
        <w:keepLines w:val="0"/>
        <w:pageBreakBefore w:val="0"/>
        <w:kinsoku/>
        <w:overflowPunct/>
        <w:topLinePunct w:val="0"/>
        <w:bidi w:val="0"/>
        <w:snapToGrid/>
        <w:spacing w:line="240" w:lineRule="auto"/>
        <w:ind w:firstLine="640" w:firstLineChars="200"/>
        <w:jc w:val="both"/>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rPr>
        <w:t>一般公共预算收入</w:t>
      </w:r>
      <w:r>
        <w:rPr>
          <w:rFonts w:hint="eastAsia" w:ascii="仿宋" w:hAnsi="仿宋" w:eastAsia="仿宋" w:cs="仿宋"/>
          <w:i w:val="0"/>
          <w:iCs w:val="0"/>
          <w:caps w:val="0"/>
          <w:color w:val="auto"/>
          <w:spacing w:val="0"/>
          <w:sz w:val="32"/>
          <w:szCs w:val="32"/>
          <w:shd w:val="clear" w:color="auto" w:fill="FFFFFF"/>
          <w:lang w:val="en-US" w:eastAsia="zh-CN"/>
        </w:rPr>
        <w:t>1430.23</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sz w:val="32"/>
          <w:szCs w:val="32"/>
        </w:rPr>
        <w:t>与2020年相比</w:t>
      </w:r>
      <w:r>
        <w:rPr>
          <w:rFonts w:hint="eastAsia" w:ascii="仿宋" w:hAnsi="仿宋" w:eastAsia="仿宋" w:cs="仿宋"/>
          <w:i w:val="0"/>
          <w:iCs w:val="0"/>
          <w:caps w:val="0"/>
          <w:color w:val="auto"/>
          <w:spacing w:val="0"/>
          <w:sz w:val="32"/>
          <w:szCs w:val="32"/>
          <w:shd w:val="clear" w:color="auto" w:fill="FFFFFF"/>
          <w:lang w:eastAsia="zh-CN"/>
        </w:rPr>
        <w:t>减少</w:t>
      </w:r>
      <w:r>
        <w:rPr>
          <w:rFonts w:hint="eastAsia" w:ascii="仿宋" w:hAnsi="仿宋" w:eastAsia="仿宋" w:cs="仿宋"/>
          <w:i w:val="0"/>
          <w:iCs w:val="0"/>
          <w:caps w:val="0"/>
          <w:color w:val="auto"/>
          <w:spacing w:val="0"/>
          <w:sz w:val="32"/>
          <w:szCs w:val="32"/>
          <w:shd w:val="clear" w:color="auto" w:fill="FFFFFF"/>
          <w:lang w:val="en-US" w:eastAsia="zh-CN"/>
        </w:rPr>
        <w:t>695.11万元，同比减少32.71%，变动原因主要为：2020年收入包括扶贫项目统筹整合资金；</w:t>
      </w:r>
      <w:r>
        <w:rPr>
          <w:rFonts w:hint="eastAsia" w:ascii="仿宋" w:hAnsi="仿宋" w:eastAsia="仿宋" w:cs="仿宋"/>
          <w:i w:val="0"/>
          <w:iCs w:val="0"/>
          <w:caps w:val="0"/>
          <w:color w:val="auto"/>
          <w:spacing w:val="0"/>
          <w:sz w:val="32"/>
          <w:szCs w:val="32"/>
          <w:shd w:val="clear" w:color="auto" w:fill="FFFFFF"/>
        </w:rPr>
        <w:t>政府性基金预算收入</w:t>
      </w:r>
      <w:r>
        <w:rPr>
          <w:rFonts w:hint="eastAsia" w:ascii="仿宋" w:hAnsi="仿宋" w:eastAsia="仿宋" w:cs="仿宋"/>
          <w:i w:val="0"/>
          <w:iCs w:val="0"/>
          <w:caps w:val="0"/>
          <w:color w:val="auto"/>
          <w:spacing w:val="0"/>
          <w:sz w:val="32"/>
          <w:szCs w:val="32"/>
          <w:shd w:val="clear" w:color="auto" w:fill="FFFFFF"/>
          <w:lang w:val="en-US" w:eastAsia="zh-CN"/>
        </w:rPr>
        <w:t>103.77</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sz w:val="32"/>
          <w:szCs w:val="32"/>
        </w:rPr>
        <w:t>与2020年相比</w:t>
      </w:r>
      <w:r>
        <w:rPr>
          <w:rFonts w:hint="eastAsia" w:ascii="仿宋" w:hAnsi="仿宋" w:eastAsia="仿宋" w:cs="仿宋"/>
          <w:i w:val="0"/>
          <w:iCs w:val="0"/>
          <w:caps w:val="0"/>
          <w:color w:val="auto"/>
          <w:spacing w:val="0"/>
          <w:sz w:val="32"/>
          <w:szCs w:val="32"/>
          <w:shd w:val="clear" w:color="auto" w:fill="FFFFFF"/>
          <w:lang w:eastAsia="zh-CN"/>
        </w:rPr>
        <w:t>增加</w:t>
      </w:r>
      <w:r>
        <w:rPr>
          <w:rFonts w:hint="eastAsia" w:ascii="仿宋" w:hAnsi="仿宋" w:eastAsia="仿宋" w:cs="仿宋"/>
          <w:i w:val="0"/>
          <w:iCs w:val="0"/>
          <w:caps w:val="0"/>
          <w:color w:val="auto"/>
          <w:spacing w:val="0"/>
          <w:sz w:val="32"/>
          <w:szCs w:val="32"/>
          <w:shd w:val="clear" w:color="auto" w:fill="FFFFFF"/>
          <w:lang w:val="en-US" w:eastAsia="zh-CN"/>
        </w:rPr>
        <w:t>103.77万元，同比增加100%，变动原因主要为：本年新增A级景区A级厕所建设项目。</w:t>
      </w:r>
    </w:p>
    <w:p>
      <w:pPr>
        <w:keepNext w:val="0"/>
        <w:keepLines w:val="0"/>
        <w:pageBreakBefore w:val="0"/>
        <w:kinsoku/>
        <w:overflowPunct/>
        <w:topLinePunct w:val="0"/>
        <w:bidi w:val="0"/>
        <w:snapToGrid/>
        <w:spacing w:line="240" w:lineRule="auto"/>
        <w:ind w:firstLine="64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支出决算情况说明</w:t>
      </w:r>
    </w:p>
    <w:p>
      <w:pPr>
        <w:spacing w:line="580" w:lineRule="exact"/>
        <w:ind w:firstLine="640"/>
        <w:rPr>
          <w:rFonts w:ascii="仿宋_GB2312" w:hAnsi="Calibri" w:eastAsia="仿宋_GB2312" w:cs="Times New Roman"/>
          <w:sz w:val="32"/>
          <w:szCs w:val="32"/>
        </w:rPr>
      </w:pPr>
      <w:r>
        <w:rPr>
          <w:rFonts w:hint="eastAsia" w:ascii="仿宋" w:hAnsi="仿宋" w:eastAsia="仿宋" w:cs="仿宋"/>
          <w:i w:val="0"/>
          <w:iCs w:val="0"/>
          <w:caps w:val="0"/>
          <w:color w:val="auto"/>
          <w:spacing w:val="0"/>
          <w:sz w:val="32"/>
          <w:szCs w:val="32"/>
          <w:shd w:val="clear" w:color="auto" w:fill="FFFFFF"/>
        </w:rPr>
        <w:t>20</w:t>
      </w:r>
      <w:r>
        <w:rPr>
          <w:rFonts w:hint="eastAsia" w:ascii="仿宋" w:hAnsi="仿宋" w:eastAsia="仿宋" w:cs="仿宋"/>
          <w:i w:val="0"/>
          <w:iCs w:val="0"/>
          <w:caps w:val="0"/>
          <w:color w:val="auto"/>
          <w:spacing w:val="0"/>
          <w:sz w:val="32"/>
          <w:szCs w:val="32"/>
          <w:shd w:val="clear" w:color="auto" w:fill="FFFFFF"/>
          <w:lang w:val="en-US" w:eastAsia="zh-CN"/>
        </w:rPr>
        <w:t>21</w:t>
      </w:r>
      <w:r>
        <w:rPr>
          <w:rFonts w:hint="eastAsia" w:ascii="仿宋" w:hAnsi="仿宋" w:eastAsia="仿宋" w:cs="仿宋"/>
          <w:i w:val="0"/>
          <w:iCs w:val="0"/>
          <w:caps w:val="0"/>
          <w:color w:val="auto"/>
          <w:spacing w:val="0"/>
          <w:sz w:val="32"/>
          <w:szCs w:val="32"/>
          <w:shd w:val="clear" w:color="auto" w:fill="FFFFFF"/>
        </w:rPr>
        <w:t>年支出决算</w:t>
      </w:r>
      <w:r>
        <w:rPr>
          <w:rFonts w:hint="eastAsia" w:ascii="仿宋" w:hAnsi="仿宋" w:eastAsia="仿宋" w:cs="仿宋"/>
          <w:i w:val="0"/>
          <w:iCs w:val="0"/>
          <w:caps w:val="0"/>
          <w:color w:val="auto"/>
          <w:spacing w:val="0"/>
          <w:sz w:val="32"/>
          <w:szCs w:val="32"/>
          <w:shd w:val="clear" w:color="auto" w:fill="FFFFFF"/>
          <w:lang w:eastAsia="zh-CN"/>
        </w:rPr>
        <w:t>合计</w:t>
      </w:r>
      <w:r>
        <w:rPr>
          <w:rFonts w:hint="eastAsia" w:ascii="仿宋" w:hAnsi="仿宋" w:eastAsia="仿宋" w:cs="仿宋"/>
          <w:i w:val="0"/>
          <w:iCs w:val="0"/>
          <w:caps w:val="0"/>
          <w:color w:val="auto"/>
          <w:spacing w:val="0"/>
          <w:sz w:val="32"/>
          <w:szCs w:val="32"/>
          <w:shd w:val="clear" w:color="auto" w:fill="FFFFFF"/>
          <w:lang w:val="en-US" w:eastAsia="zh-CN"/>
        </w:rPr>
        <w:t>1625.70</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_GB2312" w:hAnsi="Calibri" w:eastAsia="仿宋_GB2312" w:cs="Times New Roman"/>
          <w:sz w:val="32"/>
          <w:szCs w:val="32"/>
        </w:rPr>
        <w:t>其中：基本支出</w:t>
      </w:r>
      <w:r>
        <w:rPr>
          <w:rFonts w:hint="eastAsia" w:ascii="仿宋_GB2312" w:hAnsi="Calibri" w:eastAsia="仿宋_GB2312" w:cs="Times New Roman"/>
          <w:sz w:val="32"/>
          <w:szCs w:val="32"/>
          <w:lang w:val="en-US" w:eastAsia="zh-CN"/>
        </w:rPr>
        <w:t>1504.97</w:t>
      </w:r>
      <w:r>
        <w:rPr>
          <w:rFonts w:hint="eastAsia" w:ascii="仿宋_GB2312" w:hAnsi="Calibri" w:eastAsia="仿宋_GB2312" w:cs="Times New Roman"/>
          <w:sz w:val="32"/>
          <w:szCs w:val="32"/>
        </w:rPr>
        <w:t>万元，占比</w:t>
      </w:r>
      <w:r>
        <w:rPr>
          <w:rFonts w:hint="eastAsia" w:ascii="仿宋_GB2312" w:hAnsi="Calibri" w:eastAsia="仿宋_GB2312" w:cs="Times New Roman"/>
          <w:sz w:val="32"/>
          <w:szCs w:val="32"/>
          <w:lang w:val="en-US" w:eastAsia="zh-CN"/>
        </w:rPr>
        <w:t>92.57</w:t>
      </w:r>
      <w:r>
        <w:rPr>
          <w:rFonts w:hint="eastAsia" w:ascii="仿宋_GB2312" w:hAnsi="Calibri" w:eastAsia="仿宋_GB2312" w:cs="Times New Roman"/>
          <w:sz w:val="32"/>
          <w:szCs w:val="32"/>
        </w:rPr>
        <w:t>%；项目支出</w:t>
      </w:r>
      <w:r>
        <w:rPr>
          <w:rFonts w:hint="eastAsia" w:ascii="仿宋_GB2312" w:hAnsi="Calibri" w:eastAsia="仿宋_GB2312" w:cs="Times New Roman"/>
          <w:sz w:val="32"/>
          <w:szCs w:val="32"/>
          <w:lang w:val="en-US" w:eastAsia="zh-CN"/>
        </w:rPr>
        <w:t>120.73</w:t>
      </w:r>
      <w:r>
        <w:rPr>
          <w:rFonts w:hint="eastAsia" w:ascii="仿宋_GB2312" w:hAnsi="Calibri" w:eastAsia="仿宋_GB2312" w:cs="Times New Roman"/>
          <w:sz w:val="32"/>
          <w:szCs w:val="32"/>
        </w:rPr>
        <w:t>万元，占比</w:t>
      </w:r>
      <w:r>
        <w:rPr>
          <w:rFonts w:hint="eastAsia" w:ascii="仿宋_GB2312" w:hAnsi="Calibri" w:eastAsia="仿宋_GB2312" w:cs="Times New Roman"/>
          <w:sz w:val="32"/>
          <w:szCs w:val="32"/>
          <w:lang w:val="en-US" w:eastAsia="zh-CN"/>
        </w:rPr>
        <w:t>7.43</w:t>
      </w:r>
      <w:r>
        <w:rPr>
          <w:rFonts w:hint="eastAsia" w:ascii="仿宋_GB2312" w:hAnsi="Calibri" w:eastAsia="仿宋_GB2312" w:cs="Times New Roman"/>
          <w:sz w:val="32"/>
          <w:szCs w:val="32"/>
        </w:rPr>
        <w:t>%；上缴上级支出0万元，占比0%，经营支出0万元，占比0%,对附属单位补助支出0万元，占比0%。</w:t>
      </w:r>
    </w:p>
    <w:p>
      <w:pPr>
        <w:keepNext w:val="0"/>
        <w:keepLines w:val="0"/>
        <w:pageBreakBefore w:val="0"/>
        <w:numPr>
          <w:ilvl w:val="0"/>
          <w:numId w:val="0"/>
        </w:numPr>
        <w:kinsoku/>
        <w:overflowPunct/>
        <w:topLinePunct w:val="0"/>
        <w:bidi w:val="0"/>
        <w:snapToGrid/>
        <w:spacing w:line="240" w:lineRule="auto"/>
        <w:ind w:firstLine="640" w:firstLineChars="200"/>
        <w:jc w:val="left"/>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rPr>
        <w:t>一般公共预算支出</w:t>
      </w:r>
      <w:r>
        <w:rPr>
          <w:rFonts w:hint="eastAsia" w:ascii="仿宋" w:hAnsi="仿宋" w:eastAsia="仿宋" w:cs="仿宋"/>
          <w:i w:val="0"/>
          <w:iCs w:val="0"/>
          <w:caps w:val="0"/>
          <w:color w:val="auto"/>
          <w:spacing w:val="0"/>
          <w:sz w:val="32"/>
          <w:szCs w:val="32"/>
          <w:shd w:val="clear" w:color="auto" w:fill="FFFFFF"/>
          <w:lang w:eastAsia="zh-CN"/>
        </w:rPr>
        <w:t>总计</w:t>
      </w:r>
      <w:r>
        <w:rPr>
          <w:rFonts w:hint="eastAsia" w:ascii="仿宋" w:hAnsi="仿宋" w:eastAsia="仿宋" w:cs="仿宋"/>
          <w:i w:val="0"/>
          <w:iCs w:val="0"/>
          <w:caps w:val="0"/>
          <w:color w:val="auto"/>
          <w:spacing w:val="0"/>
          <w:sz w:val="32"/>
          <w:szCs w:val="32"/>
          <w:shd w:val="clear" w:color="auto" w:fill="FFFFFF"/>
          <w:lang w:val="en-US" w:eastAsia="zh-CN"/>
        </w:rPr>
        <w:t>1521.93万元，</w:t>
      </w:r>
      <w:r>
        <w:rPr>
          <w:rFonts w:hint="eastAsia" w:ascii="仿宋" w:hAnsi="仿宋" w:eastAsia="仿宋" w:cs="仿宋"/>
          <w:sz w:val="32"/>
          <w:szCs w:val="32"/>
        </w:rPr>
        <w:t>与2020年相比</w:t>
      </w:r>
      <w:r>
        <w:rPr>
          <w:rFonts w:hint="eastAsia" w:ascii="仿宋" w:hAnsi="仿宋" w:eastAsia="仿宋" w:cs="仿宋"/>
          <w:i w:val="0"/>
          <w:iCs w:val="0"/>
          <w:caps w:val="0"/>
          <w:color w:val="auto"/>
          <w:spacing w:val="0"/>
          <w:sz w:val="32"/>
          <w:szCs w:val="32"/>
          <w:shd w:val="clear" w:color="auto" w:fill="FFFFFF"/>
          <w:lang w:val="en-US" w:eastAsia="zh-CN"/>
        </w:rPr>
        <w:t>减少678.24万元，</w:t>
      </w:r>
      <w:r>
        <w:rPr>
          <w:rFonts w:hint="eastAsia" w:ascii="仿宋" w:hAnsi="仿宋" w:eastAsia="仿宋" w:cs="仿宋"/>
          <w:i w:val="0"/>
          <w:iCs w:val="0"/>
          <w:caps w:val="0"/>
          <w:color w:val="auto"/>
          <w:spacing w:val="0"/>
          <w:sz w:val="32"/>
          <w:szCs w:val="32"/>
          <w:shd w:val="clear" w:color="auto" w:fill="FFFFFF"/>
          <w:lang w:eastAsia="zh-CN"/>
        </w:rPr>
        <w:t>同比</w:t>
      </w:r>
      <w:r>
        <w:rPr>
          <w:rFonts w:hint="eastAsia" w:ascii="仿宋" w:hAnsi="仿宋" w:eastAsia="仿宋" w:cs="仿宋"/>
          <w:i w:val="0"/>
          <w:iCs w:val="0"/>
          <w:caps w:val="0"/>
          <w:color w:val="auto"/>
          <w:spacing w:val="0"/>
          <w:sz w:val="32"/>
          <w:szCs w:val="32"/>
          <w:shd w:val="clear" w:color="auto" w:fill="FFFFFF"/>
          <w:lang w:val="en-US" w:eastAsia="zh-CN"/>
        </w:rPr>
        <w:t>减少30.83%，变动原因主要为：2020年支出包括扶贫项目统筹整合资金；</w:t>
      </w:r>
      <w:r>
        <w:rPr>
          <w:rFonts w:hint="eastAsia" w:ascii="仿宋" w:hAnsi="仿宋" w:eastAsia="仿宋" w:cs="仿宋"/>
          <w:i w:val="0"/>
          <w:iCs w:val="0"/>
          <w:caps w:val="0"/>
          <w:color w:val="auto"/>
          <w:spacing w:val="0"/>
          <w:sz w:val="32"/>
          <w:szCs w:val="32"/>
          <w:shd w:val="clear" w:color="auto" w:fill="FFFFFF"/>
        </w:rPr>
        <w:t>政府性基金</w:t>
      </w:r>
      <w:r>
        <w:rPr>
          <w:rFonts w:hint="eastAsia" w:ascii="仿宋" w:hAnsi="仿宋" w:eastAsia="仿宋" w:cs="仿宋"/>
          <w:i w:val="0"/>
          <w:iCs w:val="0"/>
          <w:caps w:val="0"/>
          <w:color w:val="auto"/>
          <w:spacing w:val="0"/>
          <w:sz w:val="32"/>
          <w:szCs w:val="32"/>
          <w:shd w:val="clear" w:color="auto" w:fill="FFFFFF"/>
          <w:lang w:eastAsia="zh-CN"/>
        </w:rPr>
        <w:t>预</w:t>
      </w:r>
      <w:r>
        <w:rPr>
          <w:rFonts w:hint="eastAsia" w:ascii="仿宋" w:hAnsi="仿宋" w:eastAsia="仿宋" w:cs="仿宋"/>
          <w:i w:val="0"/>
          <w:iCs w:val="0"/>
          <w:caps w:val="0"/>
          <w:color w:val="auto"/>
          <w:spacing w:val="0"/>
          <w:sz w:val="32"/>
          <w:szCs w:val="32"/>
          <w:shd w:val="clear" w:color="auto" w:fill="FFFFFF"/>
        </w:rPr>
        <w:t>算支出</w:t>
      </w:r>
      <w:r>
        <w:rPr>
          <w:rFonts w:hint="eastAsia" w:ascii="仿宋" w:hAnsi="仿宋" w:eastAsia="仿宋" w:cs="仿宋"/>
          <w:i w:val="0"/>
          <w:iCs w:val="0"/>
          <w:caps w:val="0"/>
          <w:color w:val="auto"/>
          <w:spacing w:val="0"/>
          <w:sz w:val="32"/>
          <w:szCs w:val="32"/>
          <w:shd w:val="clear" w:color="auto" w:fill="FFFFFF"/>
          <w:lang w:eastAsia="zh-CN"/>
        </w:rPr>
        <w:t>总计</w:t>
      </w:r>
      <w:r>
        <w:rPr>
          <w:rFonts w:hint="eastAsia" w:ascii="仿宋" w:hAnsi="仿宋" w:eastAsia="仿宋" w:cs="仿宋"/>
          <w:i w:val="0"/>
          <w:iCs w:val="0"/>
          <w:caps w:val="0"/>
          <w:color w:val="auto"/>
          <w:spacing w:val="0"/>
          <w:sz w:val="32"/>
          <w:szCs w:val="32"/>
          <w:shd w:val="clear" w:color="auto" w:fill="FFFFFF"/>
          <w:lang w:val="en-US" w:eastAsia="zh-CN"/>
        </w:rPr>
        <w:t>103.77</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sz w:val="32"/>
          <w:szCs w:val="32"/>
        </w:rPr>
        <w:t>与2020年相比</w:t>
      </w:r>
      <w:r>
        <w:rPr>
          <w:rFonts w:hint="eastAsia" w:ascii="仿宋" w:hAnsi="仿宋" w:eastAsia="仿宋" w:cs="仿宋"/>
          <w:i w:val="0"/>
          <w:iCs w:val="0"/>
          <w:caps w:val="0"/>
          <w:color w:val="auto"/>
          <w:spacing w:val="0"/>
          <w:sz w:val="32"/>
          <w:szCs w:val="32"/>
          <w:shd w:val="clear" w:color="auto" w:fill="FFFFFF"/>
          <w:lang w:eastAsia="zh-CN"/>
        </w:rPr>
        <w:t>增加</w:t>
      </w:r>
      <w:r>
        <w:rPr>
          <w:rFonts w:hint="eastAsia" w:ascii="仿宋" w:hAnsi="仿宋" w:eastAsia="仿宋" w:cs="仿宋"/>
          <w:i w:val="0"/>
          <w:iCs w:val="0"/>
          <w:caps w:val="0"/>
          <w:color w:val="auto"/>
          <w:spacing w:val="0"/>
          <w:sz w:val="32"/>
          <w:szCs w:val="32"/>
          <w:shd w:val="clear" w:color="auto" w:fill="FFFFFF"/>
          <w:lang w:val="en-US" w:eastAsia="zh-CN"/>
        </w:rPr>
        <w:t>47.14万元，同比</w:t>
      </w:r>
      <w:r>
        <w:rPr>
          <w:rFonts w:hint="eastAsia" w:ascii="仿宋" w:hAnsi="仿宋" w:eastAsia="仿宋" w:cs="仿宋"/>
          <w:i w:val="0"/>
          <w:iCs w:val="0"/>
          <w:caps w:val="0"/>
          <w:color w:val="auto"/>
          <w:spacing w:val="0"/>
          <w:sz w:val="32"/>
          <w:szCs w:val="32"/>
          <w:shd w:val="clear" w:color="auto" w:fill="FFFFFF"/>
          <w:lang w:eastAsia="zh-CN"/>
        </w:rPr>
        <w:t>增加</w:t>
      </w:r>
      <w:r>
        <w:rPr>
          <w:rFonts w:hint="eastAsia" w:ascii="仿宋" w:hAnsi="仿宋" w:eastAsia="仿宋" w:cs="仿宋"/>
          <w:i w:val="0"/>
          <w:iCs w:val="0"/>
          <w:caps w:val="0"/>
          <w:color w:val="auto"/>
          <w:spacing w:val="0"/>
          <w:sz w:val="32"/>
          <w:szCs w:val="32"/>
          <w:shd w:val="clear" w:color="auto" w:fill="FFFFFF"/>
          <w:lang w:val="en-US" w:eastAsia="zh-CN"/>
        </w:rPr>
        <w:t>83.24%，变动原因主要为：本年新增A级景区A级厕所建设项目。</w:t>
      </w:r>
    </w:p>
    <w:p>
      <w:pPr>
        <w:keepNext w:val="0"/>
        <w:keepLines w:val="0"/>
        <w:pageBreakBefore w:val="0"/>
        <w:kinsoku/>
        <w:overflowPunct/>
        <w:topLinePunct w:val="0"/>
        <w:bidi w:val="0"/>
        <w:snapToGrid/>
        <w:spacing w:line="24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财政拨款收入支出决算总体情况说明</w:t>
      </w:r>
    </w:p>
    <w:p>
      <w:pPr>
        <w:ind w:firstLine="640"/>
        <w:rPr>
          <w:rFonts w:hint="eastAsia" w:ascii="仿宋" w:hAnsi="仿宋" w:eastAsia="仿宋" w:cs="仿宋"/>
          <w:sz w:val="32"/>
          <w:szCs w:val="32"/>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021年度财政拨款收入</w:t>
      </w:r>
      <w:r>
        <w:rPr>
          <w:rFonts w:hint="eastAsia" w:ascii="仿宋_GB2312" w:hAnsi="Calibri" w:eastAsia="仿宋_GB2312" w:cs="Times New Roman"/>
          <w:sz w:val="32"/>
          <w:szCs w:val="32"/>
          <w:lang w:val="en-US" w:eastAsia="zh-CN"/>
        </w:rPr>
        <w:t>总计</w:t>
      </w:r>
      <w:r>
        <w:rPr>
          <w:rFonts w:hint="eastAsia" w:ascii="仿宋_GB2312" w:hAnsi="Calibri" w:eastAsia="仿宋_GB2312" w:cs="Times New Roman"/>
          <w:kern w:val="2"/>
          <w:sz w:val="32"/>
          <w:szCs w:val="32"/>
          <w:lang w:val="en-US" w:eastAsia="zh-CN" w:bidi="ar-SA"/>
        </w:rPr>
        <w:t>3185.76</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w:t>
      </w:r>
      <w:r>
        <w:rPr>
          <w:rFonts w:hint="default" w:ascii="仿宋_GB2312" w:hAnsi="Calibri" w:eastAsia="仿宋_GB2312" w:cs="Times New Roman"/>
          <w:kern w:val="2"/>
          <w:sz w:val="32"/>
          <w:szCs w:val="32"/>
          <w:lang w:val="en-US" w:eastAsia="zh-CN" w:bidi="ar-SA"/>
        </w:rPr>
        <w:t>其</w:t>
      </w:r>
      <w:r>
        <w:rPr>
          <w:rFonts w:hint="eastAsia" w:ascii="仿宋_GB2312" w:hAnsi="Calibri" w:eastAsia="仿宋_GB2312" w:cs="Times New Roman"/>
          <w:kern w:val="2"/>
          <w:sz w:val="32"/>
          <w:szCs w:val="32"/>
          <w:lang w:val="en-US" w:eastAsia="zh-CN" w:bidi="ar-SA"/>
        </w:rPr>
        <w:t>中：</w:t>
      </w:r>
      <w:r>
        <w:rPr>
          <w:rFonts w:hint="default" w:ascii="仿宋_GB2312" w:hAnsi="Calibri" w:eastAsia="仿宋_GB2312" w:cs="Times New Roman"/>
          <w:kern w:val="2"/>
          <w:sz w:val="32"/>
          <w:szCs w:val="32"/>
          <w:lang w:val="en-US" w:eastAsia="zh-CN" w:bidi="ar-SA"/>
        </w:rPr>
        <w:t>本年收入合计</w:t>
      </w:r>
      <w:r>
        <w:rPr>
          <w:rFonts w:hint="eastAsia" w:ascii="仿宋_GB2312" w:hAnsi="Calibri" w:eastAsia="仿宋_GB2312" w:cs="Times New Roman"/>
          <w:kern w:val="2"/>
          <w:sz w:val="32"/>
          <w:szCs w:val="32"/>
          <w:lang w:val="en-US" w:eastAsia="zh-CN" w:bidi="ar-SA"/>
        </w:rPr>
        <w:t>1534.00</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年初结转和结余</w:t>
      </w:r>
      <w:r>
        <w:rPr>
          <w:rFonts w:hint="eastAsia" w:ascii="仿宋_GB2312" w:hAnsi="Calibri" w:eastAsia="仿宋_GB2312" w:cs="Times New Roman"/>
          <w:kern w:val="2"/>
          <w:sz w:val="32"/>
          <w:szCs w:val="32"/>
          <w:lang w:val="en-US" w:eastAsia="zh-CN" w:bidi="ar-SA"/>
        </w:rPr>
        <w:t>1651.76</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，与2020年相比，</w:t>
      </w:r>
      <w:r>
        <w:rPr>
          <w:rFonts w:hint="eastAsia" w:ascii="仿宋_GB2312" w:hAnsi="Calibri" w:eastAsia="仿宋_GB2312" w:cs="Times New Roman"/>
          <w:sz w:val="32"/>
          <w:szCs w:val="32"/>
        </w:rPr>
        <w:t>财政拨款收入</w:t>
      </w:r>
      <w:r>
        <w:rPr>
          <w:rFonts w:hint="eastAsia" w:ascii="仿宋_GB2312" w:hAnsi="Calibri" w:eastAsia="仿宋_GB2312" w:cs="Times New Roman"/>
          <w:kern w:val="2"/>
          <w:sz w:val="32"/>
          <w:szCs w:val="32"/>
          <w:lang w:val="en-US" w:eastAsia="zh-CN" w:bidi="ar-SA"/>
        </w:rPr>
        <w:t>总计增加699.51万元，</w:t>
      </w:r>
      <w:r>
        <w:rPr>
          <w:rFonts w:hint="eastAsia" w:ascii="仿宋" w:hAnsi="仿宋" w:eastAsia="仿宋" w:cs="仿宋"/>
          <w:i w:val="0"/>
          <w:iCs w:val="0"/>
          <w:caps w:val="0"/>
          <w:color w:val="auto"/>
          <w:spacing w:val="0"/>
          <w:sz w:val="32"/>
          <w:szCs w:val="32"/>
          <w:shd w:val="clear" w:color="auto" w:fill="FFFFFF"/>
          <w:lang w:val="en-US" w:eastAsia="zh-CN"/>
        </w:rPr>
        <w:t>同比增加28.14%</w:t>
      </w:r>
      <w:r>
        <w:rPr>
          <w:rFonts w:hint="eastAsia" w:ascii="仿宋_GB2312" w:hAnsi="Calibri" w:eastAsia="仿宋_GB2312" w:cs="Times New Roman"/>
          <w:kern w:val="2"/>
          <w:sz w:val="32"/>
          <w:szCs w:val="32"/>
          <w:lang w:val="en-US" w:eastAsia="zh-CN" w:bidi="ar-SA"/>
        </w:rPr>
        <w:t>，</w:t>
      </w:r>
      <w:r>
        <w:rPr>
          <w:rFonts w:hint="eastAsia" w:ascii="仿宋" w:hAnsi="仿宋" w:eastAsia="仿宋" w:cs="仿宋"/>
          <w:i w:val="0"/>
          <w:iCs w:val="0"/>
          <w:caps w:val="0"/>
          <w:color w:val="auto"/>
          <w:spacing w:val="0"/>
          <w:sz w:val="32"/>
          <w:szCs w:val="32"/>
          <w:shd w:val="clear" w:color="auto" w:fill="FFFFFF"/>
          <w:lang w:val="en-US" w:eastAsia="zh-CN"/>
        </w:rPr>
        <w:t>变动原因主要为：</w:t>
      </w:r>
      <w:r>
        <w:rPr>
          <w:rFonts w:hint="eastAsia" w:ascii="仿宋" w:hAnsi="仿宋" w:eastAsia="仿宋" w:cs="仿宋"/>
          <w:i w:val="0"/>
          <w:iCs w:val="0"/>
          <w:caps w:val="0"/>
          <w:color w:val="000000"/>
          <w:spacing w:val="0"/>
          <w:sz w:val="32"/>
          <w:szCs w:val="32"/>
          <w:shd w:val="clear" w:color="auto" w:fill="FFFFFF"/>
          <w:lang w:val="en-US" w:eastAsia="zh-CN"/>
        </w:rPr>
        <w:t>2021年机构改革，下属单位并回，</w:t>
      </w:r>
      <w:r>
        <w:rPr>
          <w:rFonts w:hint="default" w:ascii="仿宋_GB2312" w:hAnsi="Calibri" w:eastAsia="仿宋_GB2312" w:cs="Times New Roman"/>
          <w:kern w:val="2"/>
          <w:sz w:val="32"/>
          <w:szCs w:val="32"/>
          <w:lang w:val="en-US" w:eastAsia="zh-CN" w:bidi="ar-SA"/>
        </w:rPr>
        <w:t>年初结转和结余</w:t>
      </w:r>
      <w:r>
        <w:rPr>
          <w:rFonts w:hint="eastAsia" w:ascii="仿宋" w:hAnsi="仿宋" w:eastAsia="仿宋" w:cs="仿宋"/>
          <w:i w:val="0"/>
          <w:iCs w:val="0"/>
          <w:caps w:val="0"/>
          <w:color w:val="000000"/>
          <w:spacing w:val="0"/>
          <w:sz w:val="32"/>
          <w:szCs w:val="32"/>
          <w:shd w:val="clear" w:color="auto" w:fill="FFFFFF"/>
          <w:lang w:val="en-US" w:eastAsia="zh-CN"/>
        </w:rPr>
        <w:t>增加</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2021年支出总计3185.76万元，</w:t>
      </w:r>
      <w:r>
        <w:rPr>
          <w:rFonts w:hint="default" w:ascii="仿宋_GB2312" w:hAnsi="Calibri" w:eastAsia="仿宋_GB2312" w:cs="Times New Roman"/>
          <w:kern w:val="2"/>
          <w:sz w:val="32"/>
          <w:szCs w:val="32"/>
          <w:lang w:val="en-US" w:eastAsia="zh-CN" w:bidi="ar-SA"/>
        </w:rPr>
        <w:t>其中：</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021年度</w:t>
      </w:r>
      <w:r>
        <w:rPr>
          <w:rFonts w:hint="eastAsia" w:ascii="仿宋" w:hAnsi="仿宋" w:eastAsia="仿宋" w:cs="仿宋"/>
          <w:sz w:val="32"/>
          <w:szCs w:val="32"/>
        </w:rPr>
        <w:t>财政拨款</w:t>
      </w:r>
      <w:r>
        <w:rPr>
          <w:rFonts w:hint="default" w:ascii="仿宋_GB2312" w:hAnsi="Calibri" w:eastAsia="仿宋_GB2312" w:cs="Times New Roman"/>
          <w:kern w:val="2"/>
          <w:sz w:val="32"/>
          <w:szCs w:val="32"/>
          <w:lang w:val="en-US" w:eastAsia="zh-CN" w:bidi="ar-SA"/>
        </w:rPr>
        <w:t>支出合计</w:t>
      </w:r>
      <w:r>
        <w:rPr>
          <w:rFonts w:hint="eastAsia" w:ascii="仿宋_GB2312" w:hAnsi="Calibri" w:eastAsia="仿宋_GB2312" w:cs="Times New Roman"/>
          <w:kern w:val="2"/>
          <w:sz w:val="32"/>
          <w:szCs w:val="32"/>
          <w:lang w:val="en-US" w:eastAsia="zh-CN" w:bidi="ar-SA"/>
        </w:rPr>
        <w:t>1625.7</w:t>
      </w:r>
      <w:r>
        <w:rPr>
          <w:rFonts w:hint="default" w:ascii="仿宋_GB2312" w:hAnsi="Calibri" w:eastAsia="仿宋_GB2312" w:cs="Times New Roman"/>
          <w:kern w:val="2"/>
          <w:sz w:val="32"/>
          <w:szCs w:val="32"/>
          <w:lang w:val="en-US" w:eastAsia="zh-CN" w:bidi="ar-SA"/>
        </w:rPr>
        <w:t>万元、年末结转和结余</w:t>
      </w:r>
      <w:r>
        <w:rPr>
          <w:rFonts w:hint="eastAsia" w:ascii="仿宋_GB2312" w:hAnsi="Calibri" w:eastAsia="仿宋_GB2312" w:cs="Times New Roman"/>
          <w:kern w:val="2"/>
          <w:sz w:val="32"/>
          <w:szCs w:val="32"/>
          <w:lang w:val="en-US" w:eastAsia="zh-CN" w:bidi="ar-SA"/>
        </w:rPr>
        <w:t>1560.06</w:t>
      </w:r>
      <w:r>
        <w:rPr>
          <w:rFonts w:hint="default" w:ascii="仿宋_GB2312" w:hAnsi="Calibri" w:eastAsia="仿宋_GB2312" w:cs="Times New Roman"/>
          <w:kern w:val="2"/>
          <w:sz w:val="32"/>
          <w:szCs w:val="32"/>
          <w:lang w:val="en-US" w:eastAsia="zh-CN" w:bidi="ar-SA"/>
        </w:rPr>
        <w:t>万元。</w:t>
      </w:r>
      <w:r>
        <w:rPr>
          <w:rFonts w:hint="eastAsia" w:ascii="仿宋_GB2312" w:hAnsi="Calibri" w:eastAsia="仿宋_GB2312" w:cs="Times New Roman"/>
          <w:kern w:val="2"/>
          <w:sz w:val="32"/>
          <w:szCs w:val="32"/>
          <w:lang w:val="en-US" w:eastAsia="zh-CN" w:bidi="ar-SA"/>
        </w:rPr>
        <w:t>与2020年相比，</w:t>
      </w:r>
      <w:r>
        <w:rPr>
          <w:rFonts w:hint="eastAsia" w:ascii="仿宋" w:hAnsi="仿宋" w:eastAsia="仿宋" w:cs="仿宋"/>
          <w:sz w:val="32"/>
          <w:szCs w:val="32"/>
        </w:rPr>
        <w:t>财政拨款</w:t>
      </w:r>
      <w:r>
        <w:rPr>
          <w:rFonts w:hint="eastAsia" w:ascii="仿宋_GB2312" w:hAnsi="Calibri" w:eastAsia="仿宋_GB2312" w:cs="Times New Roman"/>
          <w:kern w:val="2"/>
          <w:sz w:val="32"/>
          <w:szCs w:val="32"/>
          <w:lang w:val="en-US" w:eastAsia="zh-CN" w:bidi="ar-SA"/>
        </w:rPr>
        <w:t>支出总计增加699.51万元，</w:t>
      </w:r>
      <w:r>
        <w:rPr>
          <w:rFonts w:hint="eastAsia" w:ascii="仿宋" w:hAnsi="仿宋" w:eastAsia="仿宋" w:cs="仿宋"/>
          <w:i w:val="0"/>
          <w:iCs w:val="0"/>
          <w:caps w:val="0"/>
          <w:color w:val="auto"/>
          <w:spacing w:val="0"/>
          <w:sz w:val="32"/>
          <w:szCs w:val="32"/>
          <w:shd w:val="clear" w:color="auto" w:fill="FFFFFF"/>
          <w:lang w:val="en-US" w:eastAsia="zh-CN"/>
        </w:rPr>
        <w:t>同比增加28.14%</w:t>
      </w:r>
      <w:r>
        <w:rPr>
          <w:rFonts w:hint="eastAsia" w:ascii="仿宋_GB2312" w:hAnsi="Calibri" w:eastAsia="仿宋_GB2312" w:cs="Times New Roman"/>
          <w:kern w:val="2"/>
          <w:sz w:val="32"/>
          <w:szCs w:val="32"/>
          <w:lang w:val="en-US" w:eastAsia="zh-CN" w:bidi="ar-SA"/>
        </w:rPr>
        <w:t>，</w:t>
      </w:r>
      <w:r>
        <w:rPr>
          <w:rFonts w:hint="eastAsia" w:ascii="仿宋" w:hAnsi="仿宋" w:eastAsia="仿宋" w:cs="仿宋"/>
          <w:i w:val="0"/>
          <w:iCs w:val="0"/>
          <w:caps w:val="0"/>
          <w:color w:val="auto"/>
          <w:spacing w:val="0"/>
          <w:sz w:val="32"/>
          <w:szCs w:val="32"/>
          <w:shd w:val="clear" w:color="auto" w:fill="FFFFFF"/>
          <w:lang w:val="en-US" w:eastAsia="zh-CN"/>
        </w:rPr>
        <w:t>变动原因主要为：</w:t>
      </w:r>
      <w:r>
        <w:rPr>
          <w:rFonts w:hint="eastAsia" w:ascii="仿宋" w:hAnsi="仿宋" w:eastAsia="仿宋" w:cs="仿宋"/>
          <w:i w:val="0"/>
          <w:iCs w:val="0"/>
          <w:caps w:val="0"/>
          <w:color w:val="000000"/>
          <w:spacing w:val="0"/>
          <w:sz w:val="32"/>
          <w:szCs w:val="32"/>
          <w:shd w:val="clear" w:color="auto" w:fill="FFFFFF"/>
          <w:lang w:val="en-US" w:eastAsia="zh-CN"/>
        </w:rPr>
        <w:t>2021年机构改革，下属单位并回，</w:t>
      </w:r>
      <w:r>
        <w:rPr>
          <w:rFonts w:hint="default" w:ascii="仿宋_GB2312" w:hAnsi="Calibri" w:eastAsia="仿宋_GB2312" w:cs="Times New Roman"/>
          <w:kern w:val="2"/>
          <w:sz w:val="32"/>
          <w:szCs w:val="32"/>
          <w:lang w:val="en-US" w:eastAsia="zh-CN" w:bidi="ar-SA"/>
        </w:rPr>
        <w:t>年末结转和结余</w:t>
      </w:r>
      <w:r>
        <w:rPr>
          <w:rFonts w:hint="eastAsia" w:ascii="仿宋" w:hAnsi="仿宋" w:eastAsia="仿宋" w:cs="仿宋"/>
          <w:i w:val="0"/>
          <w:iCs w:val="0"/>
          <w:caps w:val="0"/>
          <w:color w:val="000000"/>
          <w:spacing w:val="0"/>
          <w:sz w:val="32"/>
          <w:szCs w:val="32"/>
          <w:shd w:val="clear" w:color="auto" w:fill="FFFFFF"/>
          <w:lang w:val="en-US" w:eastAsia="zh-CN"/>
        </w:rPr>
        <w:t>增加</w:t>
      </w:r>
      <w:r>
        <w:rPr>
          <w:rFonts w:hint="eastAsia" w:ascii="仿宋" w:hAnsi="仿宋" w:eastAsia="仿宋" w:cs="仿宋"/>
          <w:i w:val="0"/>
          <w:iCs w:val="0"/>
          <w:caps w:val="0"/>
          <w:color w:val="auto"/>
          <w:spacing w:val="0"/>
          <w:sz w:val="32"/>
          <w:szCs w:val="32"/>
          <w:shd w:val="clear" w:color="auto" w:fill="FFFFFF"/>
          <w:lang w:val="en-US" w:eastAsia="zh-CN"/>
        </w:rPr>
        <w:t>。</w:t>
      </w:r>
    </w:p>
    <w:p>
      <w:pPr>
        <w:keepNext w:val="0"/>
        <w:keepLines w:val="0"/>
        <w:pageBreakBefore w:val="0"/>
        <w:kinsoku/>
        <w:overflowPunct/>
        <w:topLinePunct w:val="0"/>
        <w:bidi w:val="0"/>
        <w:snapToGrid/>
        <w:spacing w:line="240" w:lineRule="auto"/>
        <w:ind w:firstLine="640"/>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财政拨款支出决算总体情况</w:t>
      </w:r>
    </w:p>
    <w:p>
      <w:pPr>
        <w:keepNext w:val="0"/>
        <w:keepLines w:val="0"/>
        <w:pageBreakBefore w:val="0"/>
        <w:kinsoku/>
        <w:overflowPunct/>
        <w:topLinePunct w:val="0"/>
        <w:bidi w:val="0"/>
        <w:snapToGrid/>
        <w:spacing w:line="240" w:lineRule="auto"/>
        <w:ind w:firstLine="640"/>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i w:val="0"/>
          <w:iCs w:val="0"/>
          <w:caps w:val="0"/>
          <w:color w:val="auto"/>
          <w:spacing w:val="0"/>
          <w:sz w:val="32"/>
          <w:szCs w:val="32"/>
          <w:shd w:val="clear" w:color="auto" w:fill="FFFFFF"/>
          <w:lang w:val="en-US" w:eastAsia="zh-CN"/>
        </w:rPr>
        <w:t>1625.70</w:t>
      </w:r>
      <w:r>
        <w:rPr>
          <w:rFonts w:hint="eastAsia" w:ascii="仿宋" w:hAnsi="仿宋" w:eastAsia="仿宋" w:cs="仿宋"/>
          <w:sz w:val="32"/>
          <w:szCs w:val="32"/>
        </w:rPr>
        <w:t>万元，占本年支出合计的100%。与2020年相比，财政拨款支出减少</w:t>
      </w:r>
      <w:r>
        <w:rPr>
          <w:rFonts w:hint="eastAsia" w:ascii="仿宋" w:hAnsi="仿宋" w:eastAsia="仿宋" w:cs="仿宋"/>
          <w:i w:val="0"/>
          <w:iCs w:val="0"/>
          <w:caps w:val="0"/>
          <w:color w:val="auto"/>
          <w:spacing w:val="0"/>
          <w:sz w:val="32"/>
          <w:szCs w:val="32"/>
          <w:shd w:val="clear" w:color="auto" w:fill="FFFFFF"/>
          <w:lang w:val="en-US" w:eastAsia="zh-CN"/>
        </w:rPr>
        <w:t>860.55</w:t>
      </w:r>
      <w:r>
        <w:rPr>
          <w:rFonts w:hint="eastAsia" w:ascii="仿宋" w:hAnsi="仿宋" w:eastAsia="仿宋" w:cs="仿宋"/>
          <w:sz w:val="32"/>
          <w:szCs w:val="32"/>
        </w:rPr>
        <w:t>万元，</w:t>
      </w:r>
      <w:r>
        <w:rPr>
          <w:rFonts w:hint="eastAsia" w:ascii="仿宋" w:hAnsi="仿宋" w:eastAsia="仿宋" w:cs="仿宋"/>
          <w:i w:val="0"/>
          <w:iCs w:val="0"/>
          <w:caps w:val="0"/>
          <w:color w:val="auto"/>
          <w:spacing w:val="0"/>
          <w:sz w:val="32"/>
          <w:szCs w:val="32"/>
          <w:shd w:val="clear" w:color="auto" w:fill="FFFFFF"/>
          <w:lang w:val="en-US" w:eastAsia="zh-CN"/>
        </w:rPr>
        <w:t>同比减少34.61</w:t>
      </w:r>
      <w:r>
        <w:rPr>
          <w:rFonts w:hint="eastAsia" w:ascii="仿宋" w:hAnsi="仿宋" w:eastAsia="仿宋" w:cs="仿宋"/>
          <w:sz w:val="32"/>
          <w:szCs w:val="32"/>
        </w:rPr>
        <w:t>%。</w:t>
      </w:r>
      <w:r>
        <w:rPr>
          <w:rFonts w:hint="eastAsia" w:ascii="仿宋" w:hAnsi="仿宋" w:eastAsia="仿宋" w:cs="仿宋"/>
          <w:i w:val="0"/>
          <w:iCs w:val="0"/>
          <w:caps w:val="0"/>
          <w:color w:val="auto"/>
          <w:spacing w:val="0"/>
          <w:sz w:val="32"/>
          <w:szCs w:val="32"/>
          <w:shd w:val="clear" w:color="auto" w:fill="FFFFFF"/>
          <w:lang w:val="en-US" w:eastAsia="zh-CN"/>
        </w:rPr>
        <w:t>变动原因主要为：</w:t>
      </w:r>
      <w:r>
        <w:rPr>
          <w:rFonts w:hint="eastAsia" w:ascii="仿宋" w:hAnsi="仿宋" w:eastAsia="仿宋" w:cs="仿宋"/>
          <w:sz w:val="32"/>
          <w:szCs w:val="32"/>
        </w:rPr>
        <w:t>2020年</w:t>
      </w:r>
      <w:r>
        <w:rPr>
          <w:rFonts w:hint="eastAsia" w:ascii="仿宋" w:hAnsi="仿宋" w:eastAsia="仿宋" w:cs="仿宋"/>
          <w:i w:val="0"/>
          <w:iCs w:val="0"/>
          <w:caps w:val="0"/>
          <w:color w:val="auto"/>
          <w:spacing w:val="0"/>
          <w:sz w:val="32"/>
          <w:szCs w:val="32"/>
          <w:shd w:val="clear" w:color="auto" w:fill="FFFFFF"/>
          <w:lang w:val="en-US" w:eastAsia="zh-CN"/>
        </w:rPr>
        <w:t>收入支出包含扶贫项目统筹整合资金</w:t>
      </w:r>
      <w:r>
        <w:rPr>
          <w:rFonts w:hint="eastAsia" w:ascii="仿宋" w:hAnsi="仿宋" w:eastAsia="仿宋" w:cs="仿宋"/>
          <w:color w:val="auto"/>
          <w:sz w:val="32"/>
          <w:szCs w:val="32"/>
        </w:rPr>
        <w:t>。</w:t>
      </w:r>
      <w:r>
        <w:rPr>
          <w:rFonts w:hint="eastAsia" w:ascii="仿宋" w:hAnsi="仿宋" w:eastAsia="仿宋" w:cs="仿宋"/>
          <w:sz w:val="32"/>
          <w:szCs w:val="32"/>
        </w:rPr>
        <w:t>其中，人员经费</w:t>
      </w:r>
      <w:r>
        <w:rPr>
          <w:rFonts w:hint="eastAsia" w:ascii="仿宋" w:hAnsi="仿宋" w:eastAsia="仿宋" w:cs="仿宋"/>
          <w:sz w:val="32"/>
          <w:szCs w:val="32"/>
          <w:lang w:val="en-US" w:eastAsia="zh-CN"/>
        </w:rPr>
        <w:t>660.97</w:t>
      </w:r>
      <w:r>
        <w:rPr>
          <w:rFonts w:hint="eastAsia" w:ascii="仿宋" w:hAnsi="仿宋" w:eastAsia="仿宋" w:cs="仿宋"/>
          <w:sz w:val="32"/>
          <w:szCs w:val="32"/>
        </w:rPr>
        <w:t>万元，占比</w:t>
      </w:r>
      <w:r>
        <w:rPr>
          <w:rFonts w:hint="eastAsia" w:ascii="仿宋" w:hAnsi="仿宋" w:eastAsia="仿宋" w:cs="仿宋"/>
          <w:sz w:val="32"/>
          <w:szCs w:val="32"/>
          <w:lang w:val="en-US" w:eastAsia="zh-CN"/>
        </w:rPr>
        <w:t>40.66</w:t>
      </w:r>
      <w:r>
        <w:rPr>
          <w:rFonts w:hint="eastAsia" w:ascii="仿宋" w:hAnsi="仿宋" w:eastAsia="仿宋" w:cs="仿宋"/>
          <w:sz w:val="32"/>
          <w:szCs w:val="32"/>
        </w:rPr>
        <w:t>%</w:t>
      </w:r>
      <w:r>
        <w:rPr>
          <w:rFonts w:hint="eastAsia" w:ascii="仿宋" w:hAnsi="仿宋" w:eastAsia="仿宋" w:cs="仿宋"/>
          <w:sz w:val="32"/>
          <w:szCs w:val="32"/>
          <w:lang w:eastAsia="zh-CN"/>
        </w:rPr>
        <w:t>；日常</w:t>
      </w:r>
      <w:r>
        <w:rPr>
          <w:rFonts w:hint="eastAsia" w:ascii="仿宋" w:hAnsi="仿宋" w:eastAsia="仿宋" w:cs="仿宋"/>
          <w:sz w:val="32"/>
          <w:szCs w:val="32"/>
        </w:rPr>
        <w:t>公用经费</w:t>
      </w:r>
      <w:r>
        <w:rPr>
          <w:rFonts w:hint="eastAsia" w:ascii="仿宋" w:hAnsi="仿宋" w:eastAsia="仿宋" w:cs="仿宋"/>
          <w:sz w:val="32"/>
          <w:szCs w:val="32"/>
          <w:lang w:val="en-US" w:eastAsia="zh-CN"/>
        </w:rPr>
        <w:t>844.00</w:t>
      </w:r>
      <w:r>
        <w:rPr>
          <w:rFonts w:hint="eastAsia" w:ascii="仿宋" w:hAnsi="仿宋" w:eastAsia="仿宋" w:cs="仿宋"/>
          <w:sz w:val="32"/>
          <w:szCs w:val="32"/>
        </w:rPr>
        <w:t>万元，占比</w:t>
      </w:r>
      <w:r>
        <w:rPr>
          <w:rFonts w:hint="eastAsia" w:ascii="仿宋" w:hAnsi="仿宋" w:eastAsia="仿宋" w:cs="仿宋"/>
          <w:sz w:val="32"/>
          <w:szCs w:val="32"/>
          <w:lang w:val="en-US" w:eastAsia="zh-CN"/>
        </w:rPr>
        <w:t>51.92</w:t>
      </w:r>
      <w:r>
        <w:rPr>
          <w:rFonts w:hint="eastAsia" w:ascii="仿宋" w:hAnsi="仿宋" w:eastAsia="仿宋" w:cs="仿宋"/>
          <w:sz w:val="32"/>
          <w:szCs w:val="32"/>
        </w:rPr>
        <w:t>%</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120.73万元，</w:t>
      </w:r>
      <w:r>
        <w:rPr>
          <w:rFonts w:hint="eastAsia" w:ascii="仿宋" w:hAnsi="仿宋" w:eastAsia="仿宋" w:cs="仿宋"/>
          <w:sz w:val="32"/>
          <w:szCs w:val="32"/>
        </w:rPr>
        <w:t>占比</w:t>
      </w:r>
      <w:r>
        <w:rPr>
          <w:rFonts w:hint="eastAsia" w:ascii="仿宋" w:hAnsi="仿宋" w:eastAsia="仿宋" w:cs="仿宋"/>
          <w:sz w:val="32"/>
          <w:szCs w:val="32"/>
          <w:lang w:val="en-US" w:eastAsia="zh-CN"/>
        </w:rPr>
        <w:t>7.42</w:t>
      </w:r>
      <w:r>
        <w:rPr>
          <w:rFonts w:hint="eastAsia" w:ascii="仿宋" w:hAnsi="仿宋" w:eastAsia="仿宋" w:cs="仿宋"/>
          <w:sz w:val="32"/>
          <w:szCs w:val="32"/>
        </w:rPr>
        <w:t>%。</w:t>
      </w:r>
    </w:p>
    <w:p>
      <w:pPr>
        <w:keepNext w:val="0"/>
        <w:keepLines w:val="0"/>
        <w:pageBreakBefore w:val="0"/>
        <w:kinsoku/>
        <w:overflowPunct/>
        <w:topLinePunct w:val="0"/>
        <w:bidi w:val="0"/>
        <w:snapToGrid/>
        <w:spacing w:line="240" w:lineRule="auto"/>
        <w:ind w:firstLine="64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财政拨款支出决算结构情况</w:t>
      </w:r>
    </w:p>
    <w:p>
      <w:pPr>
        <w:keepNext w:val="0"/>
        <w:keepLines w:val="0"/>
        <w:pageBreakBefore w:val="0"/>
        <w:kinsoku/>
        <w:overflowPunct/>
        <w:topLinePunct w:val="0"/>
        <w:bidi w:val="0"/>
        <w:snapToGrid/>
        <w:spacing w:line="240" w:lineRule="auto"/>
        <w:ind w:firstLine="640"/>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i w:val="0"/>
          <w:iCs w:val="0"/>
          <w:caps w:val="0"/>
          <w:color w:val="auto"/>
          <w:spacing w:val="0"/>
          <w:sz w:val="32"/>
          <w:szCs w:val="32"/>
          <w:shd w:val="clear" w:color="auto" w:fill="FFFFFF"/>
          <w:lang w:val="en-US" w:eastAsia="zh-CN"/>
        </w:rPr>
        <w:t>1625.70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支出</w:t>
      </w:r>
      <w:r>
        <w:rPr>
          <w:rFonts w:hint="eastAsia" w:ascii="仿宋" w:hAnsi="仿宋" w:eastAsia="仿宋" w:cs="仿宋"/>
          <w:sz w:val="32"/>
          <w:szCs w:val="32"/>
          <w:lang w:val="en-US" w:eastAsia="zh-CN"/>
        </w:rPr>
        <w:t>1521.61</w:t>
      </w:r>
      <w:r>
        <w:rPr>
          <w:rFonts w:hint="eastAsia" w:ascii="仿宋" w:hAnsi="仿宋" w:eastAsia="仿宋" w:cs="仿宋"/>
          <w:sz w:val="32"/>
          <w:szCs w:val="32"/>
        </w:rPr>
        <w:t>万元，占</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93.60</w:t>
      </w:r>
      <w:r>
        <w:rPr>
          <w:rFonts w:hint="eastAsia" w:ascii="仿宋" w:hAnsi="仿宋" w:eastAsia="仿宋" w:cs="仿宋"/>
          <w:sz w:val="32"/>
          <w:szCs w:val="32"/>
        </w:rPr>
        <w:t>%</w:t>
      </w:r>
      <w:r>
        <w:rPr>
          <w:rFonts w:hint="eastAsia" w:ascii="仿宋" w:hAnsi="仿宋" w:eastAsia="仿宋" w:cs="仿宋"/>
          <w:sz w:val="32"/>
          <w:szCs w:val="32"/>
          <w:lang w:val="en-US" w:eastAsia="zh-CN"/>
        </w:rPr>
        <w:t>；城乡社区支出103.77万元，</w:t>
      </w:r>
      <w:r>
        <w:rPr>
          <w:rFonts w:hint="eastAsia" w:ascii="仿宋" w:hAnsi="仿宋" w:eastAsia="仿宋" w:cs="仿宋"/>
          <w:sz w:val="32"/>
          <w:szCs w:val="32"/>
        </w:rPr>
        <w:t>占</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6.38</w:t>
      </w:r>
      <w:r>
        <w:rPr>
          <w:rFonts w:hint="eastAsia" w:ascii="仿宋" w:hAnsi="仿宋" w:eastAsia="仿宋" w:cs="仿宋"/>
          <w:sz w:val="32"/>
          <w:szCs w:val="32"/>
        </w:rPr>
        <w:t>%</w:t>
      </w:r>
      <w:r>
        <w:rPr>
          <w:rFonts w:hint="eastAsia" w:ascii="仿宋" w:hAnsi="仿宋" w:eastAsia="仿宋" w:cs="仿宋"/>
          <w:sz w:val="32"/>
          <w:szCs w:val="32"/>
          <w:lang w:val="en-US" w:eastAsia="zh-CN"/>
        </w:rPr>
        <w:t>；住房保障支出0.32万元。</w:t>
      </w:r>
      <w:r>
        <w:rPr>
          <w:rFonts w:hint="eastAsia" w:ascii="仿宋" w:hAnsi="仿宋" w:eastAsia="仿宋" w:cs="仿宋"/>
          <w:sz w:val="32"/>
          <w:szCs w:val="32"/>
        </w:rPr>
        <w:t>占</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0.02</w:t>
      </w:r>
      <w:r>
        <w:rPr>
          <w:rFonts w:hint="eastAsia" w:ascii="仿宋" w:hAnsi="仿宋" w:eastAsia="仿宋" w:cs="仿宋"/>
          <w:sz w:val="32"/>
          <w:szCs w:val="32"/>
        </w:rPr>
        <w:t>%。</w:t>
      </w:r>
    </w:p>
    <w:p>
      <w:pPr>
        <w:keepNext w:val="0"/>
        <w:keepLines w:val="0"/>
        <w:pageBreakBefore w:val="0"/>
        <w:kinsoku/>
        <w:overflowPunct/>
        <w:topLinePunct w:val="0"/>
        <w:bidi w:val="0"/>
        <w:snapToGrid/>
        <w:spacing w:line="24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财政拨款支出决算具体情况</w:t>
      </w:r>
    </w:p>
    <w:p>
      <w:pPr>
        <w:keepNext w:val="0"/>
        <w:keepLines w:val="0"/>
        <w:pageBreakBefore w:val="0"/>
        <w:kinsoku/>
        <w:overflowPunct/>
        <w:topLinePunct w:val="0"/>
        <w:bidi w:val="0"/>
        <w:snapToGrid/>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2021年度财政拨款支出年初预算</w:t>
      </w:r>
      <w:r>
        <w:rPr>
          <w:rFonts w:hint="eastAsia" w:ascii="仿宋" w:hAnsi="仿宋" w:eastAsia="仿宋" w:cs="仿宋"/>
          <w:i w:val="0"/>
          <w:iCs w:val="0"/>
          <w:caps w:val="0"/>
          <w:color w:val="auto"/>
          <w:spacing w:val="0"/>
          <w:sz w:val="32"/>
          <w:szCs w:val="32"/>
          <w:shd w:val="clear" w:color="auto" w:fill="FFFFFF"/>
          <w:lang w:val="en-US" w:eastAsia="zh-CN"/>
        </w:rPr>
        <w:t>1625.70</w:t>
      </w:r>
      <w:r>
        <w:rPr>
          <w:rFonts w:hint="eastAsia" w:ascii="仿宋" w:hAnsi="仿宋" w:eastAsia="仿宋" w:cs="仿宋"/>
          <w:sz w:val="32"/>
          <w:szCs w:val="32"/>
        </w:rPr>
        <w:t>万元，支出决算</w:t>
      </w:r>
      <w:r>
        <w:rPr>
          <w:rFonts w:hint="eastAsia" w:ascii="仿宋" w:hAnsi="仿宋" w:eastAsia="仿宋" w:cs="仿宋"/>
          <w:i w:val="0"/>
          <w:iCs w:val="0"/>
          <w:caps w:val="0"/>
          <w:color w:val="auto"/>
          <w:spacing w:val="0"/>
          <w:sz w:val="32"/>
          <w:szCs w:val="32"/>
          <w:shd w:val="clear" w:color="auto" w:fill="FFFFFF"/>
          <w:lang w:val="en-US" w:eastAsia="zh-CN"/>
        </w:rPr>
        <w:t>1625.70</w:t>
      </w:r>
      <w:r>
        <w:rPr>
          <w:rFonts w:hint="eastAsia" w:ascii="仿宋" w:hAnsi="仿宋" w:eastAsia="仿宋" w:cs="仿宋"/>
          <w:sz w:val="32"/>
          <w:szCs w:val="32"/>
        </w:rPr>
        <w:t>万元</w:t>
      </w:r>
      <w:r>
        <w:rPr>
          <w:rFonts w:hint="eastAsia" w:ascii="仿宋" w:hAnsi="仿宋" w:eastAsia="仿宋" w:cs="仿宋"/>
          <w:color w:val="auto"/>
          <w:sz w:val="32"/>
          <w:szCs w:val="32"/>
        </w:rPr>
        <w:t>，完成年初预算的100%。</w:t>
      </w:r>
      <w:r>
        <w:rPr>
          <w:rFonts w:hint="eastAsia" w:ascii="仿宋" w:hAnsi="仿宋" w:eastAsia="仿宋" w:cs="仿宋"/>
          <w:sz w:val="32"/>
          <w:szCs w:val="32"/>
        </w:rPr>
        <w:t>其中：一般公共服务支出年初预算</w:t>
      </w:r>
      <w:r>
        <w:rPr>
          <w:rFonts w:hint="eastAsia" w:ascii="仿宋" w:hAnsi="仿宋" w:eastAsia="仿宋" w:cs="仿宋"/>
          <w:sz w:val="32"/>
          <w:szCs w:val="32"/>
          <w:lang w:val="en-US" w:eastAsia="zh-CN"/>
        </w:rPr>
        <w:t>1521.93</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1521.93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完成年初预算的100%，用于人员经费、日常公用经费、</w:t>
      </w:r>
      <w:r>
        <w:rPr>
          <w:rFonts w:hint="eastAsia" w:ascii="仿宋" w:hAnsi="仿宋" w:eastAsia="仿宋" w:cs="仿宋"/>
          <w:sz w:val="32"/>
          <w:szCs w:val="32"/>
          <w:lang w:eastAsia="zh-CN"/>
        </w:rPr>
        <w:t>“三弦书”</w:t>
      </w:r>
      <w:r>
        <w:rPr>
          <w:rFonts w:hint="eastAsia" w:ascii="仿宋" w:hAnsi="仿宋" w:eastAsia="仿宋" w:cs="仿宋"/>
          <w:sz w:val="32"/>
          <w:szCs w:val="32"/>
        </w:rPr>
        <w:t>项目、</w:t>
      </w:r>
      <w:r>
        <w:rPr>
          <w:rFonts w:hint="eastAsia" w:ascii="仿宋" w:hAnsi="仿宋" w:eastAsia="仿宋" w:cs="仿宋"/>
          <w:sz w:val="32"/>
          <w:szCs w:val="32"/>
          <w:lang w:val="en-US" w:eastAsia="zh-CN"/>
        </w:rPr>
        <w:t>2020年免费开放经费；</w:t>
      </w:r>
      <w:r>
        <w:rPr>
          <w:rFonts w:hint="eastAsia" w:ascii="仿宋" w:hAnsi="仿宋" w:eastAsia="仿宋" w:cs="仿宋"/>
          <w:i w:val="0"/>
          <w:iCs w:val="0"/>
          <w:caps w:val="0"/>
          <w:color w:val="000000"/>
          <w:spacing w:val="0"/>
          <w:sz w:val="32"/>
          <w:szCs w:val="32"/>
          <w:shd w:val="clear" w:color="auto" w:fill="FFFFFF"/>
        </w:rPr>
        <w:t>政府性基金</w:t>
      </w:r>
      <w:r>
        <w:rPr>
          <w:rFonts w:hint="eastAsia" w:ascii="仿宋" w:hAnsi="仿宋" w:eastAsia="仿宋" w:cs="仿宋"/>
          <w:i w:val="0"/>
          <w:iCs w:val="0"/>
          <w:caps w:val="0"/>
          <w:color w:val="000000"/>
          <w:spacing w:val="0"/>
          <w:sz w:val="32"/>
          <w:szCs w:val="32"/>
          <w:shd w:val="clear" w:color="auto" w:fill="FFFFFF"/>
          <w:lang w:eastAsia="zh-CN"/>
        </w:rPr>
        <w:t>支出年初</w:t>
      </w:r>
      <w:r>
        <w:rPr>
          <w:rFonts w:hint="eastAsia" w:ascii="仿宋" w:hAnsi="仿宋" w:eastAsia="仿宋" w:cs="仿宋"/>
          <w:b w:val="0"/>
          <w:bCs/>
          <w:i w:val="0"/>
          <w:iCs w:val="0"/>
          <w:caps w:val="0"/>
          <w:color w:val="auto"/>
          <w:spacing w:val="0"/>
          <w:sz w:val="32"/>
          <w:szCs w:val="32"/>
          <w:shd w:val="clear" w:color="auto" w:fill="FFFFFF"/>
          <w:lang w:eastAsia="zh-CN"/>
        </w:rPr>
        <w:t>预算</w:t>
      </w:r>
      <w:r>
        <w:rPr>
          <w:rFonts w:hint="eastAsia" w:ascii="仿宋" w:hAnsi="仿宋" w:eastAsia="仿宋" w:cs="仿宋"/>
          <w:i w:val="0"/>
          <w:iCs w:val="0"/>
          <w:caps w:val="0"/>
          <w:color w:val="000000"/>
          <w:spacing w:val="0"/>
          <w:sz w:val="32"/>
          <w:szCs w:val="32"/>
          <w:shd w:val="clear" w:color="auto" w:fill="FFFFFF"/>
          <w:lang w:val="en-US" w:eastAsia="zh-CN"/>
        </w:rPr>
        <w:t>103.77万元，</w:t>
      </w:r>
      <w:r>
        <w:rPr>
          <w:rFonts w:hint="eastAsia" w:ascii="仿宋" w:hAnsi="仿宋" w:eastAsia="仿宋" w:cs="仿宋"/>
          <w:sz w:val="32"/>
          <w:szCs w:val="32"/>
        </w:rPr>
        <w:t>支出决算</w:t>
      </w:r>
      <w:r>
        <w:rPr>
          <w:rFonts w:hint="eastAsia" w:ascii="仿宋" w:hAnsi="仿宋" w:eastAsia="仿宋" w:cs="仿宋"/>
          <w:sz w:val="32"/>
          <w:szCs w:val="32"/>
          <w:lang w:val="en-US" w:eastAsia="zh-CN"/>
        </w:rPr>
        <w:t>103.77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完成年初预算的100%，</w:t>
      </w:r>
      <w:r>
        <w:rPr>
          <w:rFonts w:hint="eastAsia" w:ascii="仿宋" w:hAnsi="仿宋" w:eastAsia="仿宋" w:cs="仿宋"/>
          <w:i w:val="0"/>
          <w:iCs w:val="0"/>
          <w:caps w:val="0"/>
          <w:color w:val="000000"/>
          <w:spacing w:val="0"/>
          <w:sz w:val="32"/>
          <w:szCs w:val="32"/>
          <w:shd w:val="clear" w:color="auto" w:fill="FFFFFF"/>
          <w:lang w:val="en-US" w:eastAsia="zh-CN"/>
        </w:rPr>
        <w:t>为A级景区A级厕所建设项目支出。</w:t>
      </w:r>
    </w:p>
    <w:p>
      <w:pPr>
        <w:keepNext w:val="0"/>
        <w:keepLines w:val="0"/>
        <w:pageBreakBefore w:val="0"/>
        <w:numPr>
          <w:ilvl w:val="0"/>
          <w:numId w:val="0"/>
        </w:numPr>
        <w:kinsoku/>
        <w:overflowPunct/>
        <w:topLinePunct w:val="0"/>
        <w:bidi w:val="0"/>
        <w:snapToGrid/>
        <w:spacing w:line="24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一般公共预算财政拨款支出决算情况说明</w:t>
      </w:r>
    </w:p>
    <w:p>
      <w:pPr>
        <w:keepNext w:val="0"/>
        <w:keepLines w:val="0"/>
        <w:pageBreakBefore w:val="0"/>
        <w:numPr>
          <w:ilvl w:val="0"/>
          <w:numId w:val="0"/>
        </w:numPr>
        <w:kinsoku/>
        <w:overflowPunct/>
        <w:topLinePunct w:val="0"/>
        <w:bidi w:val="0"/>
        <w:snapToGrid/>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一般公共预算财政拨款</w:t>
      </w:r>
      <w:r>
        <w:rPr>
          <w:rFonts w:hint="eastAsia" w:ascii="仿宋" w:hAnsi="仿宋" w:eastAsia="仿宋" w:cs="仿宋"/>
          <w:b/>
          <w:bCs/>
          <w:sz w:val="32"/>
          <w:szCs w:val="32"/>
          <w:lang w:eastAsia="zh-CN"/>
        </w:rPr>
        <w:t>基本</w:t>
      </w:r>
      <w:r>
        <w:rPr>
          <w:rFonts w:hint="eastAsia" w:ascii="仿宋" w:hAnsi="仿宋" w:eastAsia="仿宋" w:cs="仿宋"/>
          <w:b/>
          <w:bCs/>
          <w:sz w:val="32"/>
          <w:szCs w:val="32"/>
        </w:rPr>
        <w:t>支出决算情况说明</w:t>
      </w:r>
    </w:p>
    <w:p>
      <w:pPr>
        <w:keepNext w:val="0"/>
        <w:keepLines w:val="0"/>
        <w:pageBreakBefore w:val="0"/>
        <w:widowControl/>
        <w:shd w:val="clear" w:color="auto" w:fill="FFFFFF"/>
        <w:kinsoku/>
        <w:overflowPunct/>
        <w:topLinePunct w:val="0"/>
        <w:bidi w:val="0"/>
        <w:snapToGrid/>
        <w:spacing w:line="240" w:lineRule="auto"/>
        <w:ind w:firstLine="640" w:firstLineChars="200"/>
        <w:textAlignment w:val="bottom"/>
        <w:rPr>
          <w:rFonts w:hint="eastAsia" w:ascii="仿宋" w:hAnsi="仿宋" w:eastAsia="仿宋" w:cs="仿宋"/>
          <w:color w:val="auto"/>
          <w:sz w:val="32"/>
          <w:szCs w:val="32"/>
        </w:rPr>
      </w:pPr>
      <w:r>
        <w:rPr>
          <w:rFonts w:hint="eastAsia" w:ascii="仿宋" w:hAnsi="仿宋" w:eastAsia="仿宋" w:cs="仿宋"/>
          <w:sz w:val="32"/>
          <w:szCs w:val="32"/>
        </w:rPr>
        <w:t>20</w:t>
      </w:r>
      <w:r>
        <w:rPr>
          <w:rFonts w:hint="eastAsia" w:ascii="仿宋" w:hAnsi="仿宋" w:eastAsia="仿宋" w:cs="仿宋"/>
          <w:color w:val="auto"/>
          <w:sz w:val="32"/>
          <w:szCs w:val="32"/>
        </w:rPr>
        <w:t>21年度</w:t>
      </w:r>
      <w:r>
        <w:rPr>
          <w:rFonts w:hint="eastAsia" w:ascii="仿宋" w:hAnsi="仿宋" w:eastAsia="仿宋" w:cs="仿宋"/>
          <w:b w:val="0"/>
          <w:bCs w:val="0"/>
          <w:sz w:val="32"/>
          <w:szCs w:val="32"/>
        </w:rPr>
        <w:t>一般公共预算</w:t>
      </w:r>
      <w:r>
        <w:rPr>
          <w:rFonts w:hint="eastAsia" w:ascii="仿宋" w:hAnsi="仿宋" w:eastAsia="仿宋" w:cs="仿宋"/>
          <w:color w:val="auto"/>
          <w:sz w:val="32"/>
          <w:szCs w:val="32"/>
        </w:rPr>
        <w:t>财政拨款基本支出</w:t>
      </w:r>
      <w:r>
        <w:rPr>
          <w:rFonts w:hint="eastAsia" w:ascii="仿宋" w:hAnsi="仿宋" w:eastAsia="仿宋" w:cs="仿宋"/>
          <w:color w:val="auto"/>
          <w:sz w:val="32"/>
          <w:szCs w:val="32"/>
          <w:lang w:val="en-US" w:eastAsia="zh-CN"/>
        </w:rPr>
        <w:t>1504.97</w:t>
      </w:r>
      <w:r>
        <w:rPr>
          <w:rFonts w:hint="eastAsia" w:ascii="仿宋" w:hAnsi="仿宋" w:eastAsia="仿宋" w:cs="仿宋"/>
          <w:color w:val="auto"/>
          <w:sz w:val="32"/>
          <w:szCs w:val="32"/>
        </w:rPr>
        <w:t>万元，其中：</w:t>
      </w:r>
      <w:r>
        <w:rPr>
          <w:rFonts w:hint="eastAsia" w:ascii="仿宋" w:hAnsi="仿宋" w:eastAsia="仿宋" w:cs="仿宋"/>
          <w:color w:val="auto"/>
          <w:sz w:val="32"/>
          <w:szCs w:val="32"/>
          <w:lang w:eastAsia="zh-CN"/>
        </w:rPr>
        <w:t>工资福利支出</w:t>
      </w:r>
      <w:r>
        <w:rPr>
          <w:rFonts w:hint="eastAsia" w:ascii="仿宋" w:hAnsi="仿宋" w:eastAsia="仿宋" w:cs="仿宋"/>
          <w:color w:val="auto"/>
          <w:sz w:val="32"/>
          <w:szCs w:val="32"/>
          <w:lang w:val="en-US" w:eastAsia="zh-CN"/>
        </w:rPr>
        <w:t>633.78</w:t>
      </w:r>
      <w:r>
        <w:rPr>
          <w:rFonts w:hint="eastAsia" w:ascii="仿宋" w:hAnsi="仿宋" w:eastAsia="仿宋" w:cs="仿宋"/>
          <w:color w:val="auto"/>
          <w:sz w:val="32"/>
          <w:szCs w:val="32"/>
        </w:rPr>
        <w:t>万元，主要包括基本工资、津贴补贴、</w:t>
      </w:r>
      <w:r>
        <w:rPr>
          <w:rFonts w:hint="eastAsia" w:ascii="仿宋" w:hAnsi="仿宋" w:eastAsia="仿宋" w:cs="仿宋"/>
          <w:color w:val="auto"/>
          <w:sz w:val="32"/>
          <w:szCs w:val="32"/>
          <w:lang w:eastAsia="zh-CN"/>
        </w:rPr>
        <w:t>奖金、</w:t>
      </w:r>
      <w:r>
        <w:rPr>
          <w:rFonts w:hint="eastAsia" w:ascii="仿宋" w:hAnsi="仿宋" w:eastAsia="仿宋" w:cs="仿宋"/>
          <w:color w:val="auto"/>
          <w:sz w:val="32"/>
          <w:szCs w:val="32"/>
        </w:rPr>
        <w:t>绩效工资、社会保障缴费、住房公积金、</w:t>
      </w:r>
      <w:r>
        <w:rPr>
          <w:rFonts w:hint="eastAsia" w:ascii="仿宋" w:hAnsi="仿宋" w:eastAsia="仿宋" w:cs="仿宋"/>
          <w:color w:val="auto"/>
          <w:sz w:val="32"/>
          <w:szCs w:val="32"/>
          <w:lang w:eastAsia="zh-CN"/>
        </w:rPr>
        <w:t>其他工资福利支出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商品和服务支出</w:t>
      </w:r>
      <w:r>
        <w:rPr>
          <w:rFonts w:hint="eastAsia" w:ascii="仿宋" w:hAnsi="仿宋" w:eastAsia="仿宋" w:cs="仿宋"/>
          <w:color w:val="auto"/>
          <w:sz w:val="32"/>
          <w:szCs w:val="32"/>
          <w:lang w:val="en-US" w:eastAsia="zh-CN"/>
        </w:rPr>
        <w:t>844.00</w:t>
      </w:r>
      <w:r>
        <w:rPr>
          <w:rFonts w:hint="eastAsia" w:ascii="仿宋" w:hAnsi="仿宋" w:eastAsia="仿宋" w:cs="仿宋"/>
          <w:color w:val="auto"/>
          <w:sz w:val="32"/>
          <w:szCs w:val="32"/>
        </w:rPr>
        <w:t>万元，主要包括办公费、</w:t>
      </w:r>
      <w:r>
        <w:rPr>
          <w:rFonts w:hint="eastAsia" w:ascii="仿宋" w:hAnsi="仿宋" w:eastAsia="仿宋" w:cs="仿宋"/>
          <w:color w:val="auto"/>
          <w:sz w:val="32"/>
          <w:szCs w:val="32"/>
          <w:lang w:eastAsia="zh-CN"/>
        </w:rPr>
        <w:t>印刷费、咨询费、</w:t>
      </w:r>
      <w:r>
        <w:rPr>
          <w:rFonts w:hint="eastAsia" w:ascii="仿宋" w:hAnsi="仿宋" w:eastAsia="仿宋" w:cs="仿宋"/>
          <w:color w:val="auto"/>
          <w:sz w:val="32"/>
          <w:szCs w:val="32"/>
        </w:rPr>
        <w:t>电费、</w:t>
      </w:r>
      <w:r>
        <w:rPr>
          <w:rFonts w:hint="eastAsia" w:ascii="仿宋" w:hAnsi="仿宋" w:eastAsia="仿宋" w:cs="仿宋"/>
          <w:color w:val="auto"/>
          <w:sz w:val="32"/>
          <w:szCs w:val="32"/>
          <w:lang w:eastAsia="zh-CN"/>
        </w:rPr>
        <w:t>邮电</w:t>
      </w:r>
      <w:r>
        <w:rPr>
          <w:rFonts w:hint="eastAsia" w:ascii="仿宋" w:hAnsi="仿宋" w:eastAsia="仿宋" w:cs="仿宋"/>
          <w:color w:val="auto"/>
          <w:sz w:val="32"/>
          <w:szCs w:val="32"/>
        </w:rPr>
        <w:t>费、</w:t>
      </w:r>
      <w:r>
        <w:rPr>
          <w:rFonts w:hint="eastAsia" w:ascii="仿宋" w:hAnsi="仿宋" w:eastAsia="仿宋" w:cs="仿宋"/>
          <w:color w:val="auto"/>
          <w:sz w:val="32"/>
          <w:szCs w:val="32"/>
          <w:lang w:eastAsia="zh-CN"/>
        </w:rPr>
        <w:t>差旅费、</w:t>
      </w:r>
      <w:r>
        <w:rPr>
          <w:rFonts w:hint="eastAsia" w:ascii="仿宋" w:hAnsi="仿宋" w:eastAsia="仿宋" w:cs="仿宋"/>
          <w:color w:val="auto"/>
          <w:sz w:val="32"/>
          <w:szCs w:val="32"/>
        </w:rPr>
        <w:t>维修</w:t>
      </w:r>
      <w:r>
        <w:rPr>
          <w:rFonts w:hint="eastAsia" w:ascii="仿宋" w:hAnsi="仿宋" w:eastAsia="仿宋" w:cs="仿宋"/>
          <w:color w:val="auto"/>
          <w:sz w:val="32"/>
          <w:szCs w:val="32"/>
          <w:lang w:eastAsia="zh-CN"/>
        </w:rPr>
        <w:t>（护）</w:t>
      </w:r>
      <w:r>
        <w:rPr>
          <w:rFonts w:hint="eastAsia" w:ascii="仿宋" w:hAnsi="仿宋" w:eastAsia="仿宋" w:cs="仿宋"/>
          <w:color w:val="auto"/>
          <w:sz w:val="32"/>
          <w:szCs w:val="32"/>
        </w:rPr>
        <w:t>费</w:t>
      </w:r>
      <w:r>
        <w:rPr>
          <w:rFonts w:hint="eastAsia" w:ascii="仿宋" w:hAnsi="仿宋" w:eastAsia="仿宋" w:cs="仿宋"/>
          <w:color w:val="auto"/>
          <w:sz w:val="32"/>
          <w:szCs w:val="32"/>
          <w:lang w:eastAsia="zh-CN"/>
        </w:rPr>
        <w:t>、租赁费、专用材料费、劳务费、委托业务费、工会经费、其他交通费用、其他商品和服务支出；</w:t>
      </w:r>
      <w:r>
        <w:rPr>
          <w:rFonts w:hint="eastAsia" w:ascii="仿宋" w:hAnsi="仿宋" w:eastAsia="仿宋" w:cs="仿宋"/>
          <w:i w:val="0"/>
          <w:iCs w:val="0"/>
          <w:caps w:val="0"/>
          <w:color w:val="auto"/>
          <w:spacing w:val="0"/>
          <w:sz w:val="32"/>
          <w:szCs w:val="32"/>
          <w:shd w:val="clear" w:color="auto" w:fill="FFFFFF"/>
        </w:rPr>
        <w:t>对个人</w:t>
      </w:r>
      <w:r>
        <w:rPr>
          <w:rFonts w:hint="eastAsia" w:ascii="仿宋" w:hAnsi="仿宋" w:eastAsia="仿宋" w:cs="仿宋"/>
          <w:i w:val="0"/>
          <w:iCs w:val="0"/>
          <w:caps w:val="0"/>
          <w:color w:val="auto"/>
          <w:spacing w:val="0"/>
          <w:sz w:val="32"/>
          <w:szCs w:val="32"/>
          <w:shd w:val="clear" w:color="auto" w:fill="FFFFFF"/>
          <w:lang w:eastAsia="zh-CN"/>
        </w:rPr>
        <w:t>和</w:t>
      </w:r>
      <w:r>
        <w:rPr>
          <w:rFonts w:hint="eastAsia" w:ascii="仿宋" w:hAnsi="仿宋" w:eastAsia="仿宋" w:cs="仿宋"/>
          <w:i w:val="0"/>
          <w:iCs w:val="0"/>
          <w:caps w:val="0"/>
          <w:color w:val="auto"/>
          <w:spacing w:val="0"/>
          <w:sz w:val="32"/>
          <w:szCs w:val="32"/>
          <w:shd w:val="clear" w:color="auto" w:fill="FFFFFF"/>
        </w:rPr>
        <w:t>家庭</w:t>
      </w:r>
      <w:r>
        <w:rPr>
          <w:rFonts w:hint="eastAsia" w:ascii="仿宋" w:hAnsi="仿宋" w:eastAsia="仿宋" w:cs="仿宋"/>
          <w:i w:val="0"/>
          <w:iCs w:val="0"/>
          <w:caps w:val="0"/>
          <w:color w:val="auto"/>
          <w:spacing w:val="0"/>
          <w:sz w:val="32"/>
          <w:szCs w:val="32"/>
          <w:shd w:val="clear" w:color="auto" w:fill="FFFFFF"/>
          <w:lang w:eastAsia="zh-CN"/>
        </w:rPr>
        <w:t>的</w:t>
      </w:r>
      <w:r>
        <w:rPr>
          <w:rFonts w:hint="eastAsia" w:ascii="仿宋" w:hAnsi="仿宋" w:eastAsia="仿宋" w:cs="仿宋"/>
          <w:i w:val="0"/>
          <w:iCs w:val="0"/>
          <w:caps w:val="0"/>
          <w:color w:val="auto"/>
          <w:spacing w:val="0"/>
          <w:sz w:val="32"/>
          <w:szCs w:val="32"/>
          <w:shd w:val="clear" w:color="auto" w:fill="FFFFFF"/>
        </w:rPr>
        <w:t>补助</w:t>
      </w:r>
      <w:r>
        <w:rPr>
          <w:rFonts w:hint="eastAsia" w:ascii="仿宋" w:hAnsi="仿宋" w:eastAsia="仿宋" w:cs="仿宋"/>
          <w:i w:val="0"/>
          <w:iCs w:val="0"/>
          <w:caps w:val="0"/>
          <w:color w:val="auto"/>
          <w:spacing w:val="0"/>
          <w:sz w:val="32"/>
          <w:szCs w:val="32"/>
          <w:shd w:val="clear" w:color="auto" w:fill="FFFFFF"/>
          <w:lang w:val="en-US" w:eastAsia="zh-CN"/>
        </w:rPr>
        <w:t>27.19</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color w:val="auto"/>
          <w:sz w:val="32"/>
          <w:szCs w:val="32"/>
        </w:rPr>
        <w:t>主要包括</w:t>
      </w:r>
      <w:r>
        <w:rPr>
          <w:rFonts w:hint="eastAsia" w:ascii="仿宋" w:hAnsi="仿宋" w:eastAsia="仿宋" w:cs="仿宋"/>
          <w:color w:val="auto"/>
          <w:sz w:val="32"/>
          <w:szCs w:val="32"/>
          <w:lang w:eastAsia="zh-CN"/>
        </w:rPr>
        <w:t>退休费、抚恤金、生活补助、奖励金、其他</w:t>
      </w:r>
      <w:r>
        <w:rPr>
          <w:rFonts w:hint="eastAsia" w:ascii="仿宋" w:hAnsi="仿宋" w:eastAsia="仿宋" w:cs="仿宋"/>
          <w:i w:val="0"/>
          <w:iCs w:val="0"/>
          <w:caps w:val="0"/>
          <w:color w:val="auto"/>
          <w:spacing w:val="0"/>
          <w:sz w:val="32"/>
          <w:szCs w:val="32"/>
          <w:shd w:val="clear" w:color="auto" w:fill="FFFFFF"/>
        </w:rPr>
        <w:t>对个人</w:t>
      </w:r>
      <w:r>
        <w:rPr>
          <w:rFonts w:hint="eastAsia" w:ascii="仿宋" w:hAnsi="仿宋" w:eastAsia="仿宋" w:cs="仿宋"/>
          <w:i w:val="0"/>
          <w:iCs w:val="0"/>
          <w:caps w:val="0"/>
          <w:color w:val="auto"/>
          <w:spacing w:val="0"/>
          <w:sz w:val="32"/>
          <w:szCs w:val="32"/>
          <w:shd w:val="clear" w:color="auto" w:fill="FFFFFF"/>
          <w:lang w:eastAsia="zh-CN"/>
        </w:rPr>
        <w:t>和</w:t>
      </w:r>
      <w:r>
        <w:rPr>
          <w:rFonts w:hint="eastAsia" w:ascii="仿宋" w:hAnsi="仿宋" w:eastAsia="仿宋" w:cs="仿宋"/>
          <w:i w:val="0"/>
          <w:iCs w:val="0"/>
          <w:caps w:val="0"/>
          <w:color w:val="auto"/>
          <w:spacing w:val="0"/>
          <w:sz w:val="32"/>
          <w:szCs w:val="32"/>
          <w:shd w:val="clear" w:color="auto" w:fill="FFFFFF"/>
        </w:rPr>
        <w:t>家庭</w:t>
      </w:r>
      <w:r>
        <w:rPr>
          <w:rFonts w:hint="eastAsia" w:ascii="仿宋" w:hAnsi="仿宋" w:eastAsia="仿宋" w:cs="仿宋"/>
          <w:i w:val="0"/>
          <w:iCs w:val="0"/>
          <w:caps w:val="0"/>
          <w:color w:val="auto"/>
          <w:spacing w:val="0"/>
          <w:sz w:val="32"/>
          <w:szCs w:val="32"/>
          <w:shd w:val="clear" w:color="auto" w:fill="FFFFFF"/>
          <w:lang w:eastAsia="zh-CN"/>
        </w:rPr>
        <w:t>的</w:t>
      </w:r>
      <w:r>
        <w:rPr>
          <w:rFonts w:hint="eastAsia" w:ascii="仿宋" w:hAnsi="仿宋" w:eastAsia="仿宋" w:cs="仿宋"/>
          <w:i w:val="0"/>
          <w:iCs w:val="0"/>
          <w:caps w:val="0"/>
          <w:color w:val="auto"/>
          <w:spacing w:val="0"/>
          <w:sz w:val="32"/>
          <w:szCs w:val="32"/>
          <w:shd w:val="clear" w:color="auto" w:fill="FFFFFF"/>
        </w:rPr>
        <w:t>补助</w:t>
      </w:r>
      <w:r>
        <w:rPr>
          <w:rFonts w:hint="eastAsia" w:ascii="仿宋" w:hAnsi="仿宋" w:eastAsia="仿宋" w:cs="仿宋"/>
          <w:color w:val="auto"/>
          <w:sz w:val="32"/>
          <w:szCs w:val="32"/>
        </w:rPr>
        <w:t>。</w:t>
      </w:r>
    </w:p>
    <w:p>
      <w:pPr>
        <w:keepNext w:val="0"/>
        <w:keepLines w:val="0"/>
        <w:pageBreakBefore w:val="0"/>
        <w:numPr>
          <w:ilvl w:val="0"/>
          <w:numId w:val="1"/>
        </w:numPr>
        <w:kinsoku/>
        <w:overflowPunct/>
        <w:topLinePunct w:val="0"/>
        <w:bidi w:val="0"/>
        <w:snapToGrid/>
        <w:spacing w:line="240" w:lineRule="auto"/>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rPr>
        <w:t>一般公共预算财政拨款</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支出决算情况说明</w:t>
      </w:r>
    </w:p>
    <w:p>
      <w:pPr>
        <w:keepNext w:val="0"/>
        <w:keepLines w:val="0"/>
        <w:pageBreakBefore w:val="0"/>
        <w:numPr>
          <w:ilvl w:val="0"/>
          <w:numId w:val="0"/>
        </w:numPr>
        <w:kinsoku/>
        <w:overflowPunct/>
        <w:topLinePunct w:val="0"/>
        <w:bidi w:val="0"/>
        <w:snapToGrid/>
        <w:spacing w:line="240" w:lineRule="auto"/>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sz w:val="32"/>
          <w:szCs w:val="32"/>
        </w:rPr>
        <w:t>20</w:t>
      </w:r>
      <w:r>
        <w:rPr>
          <w:rFonts w:hint="eastAsia" w:ascii="仿宋" w:hAnsi="仿宋" w:eastAsia="仿宋" w:cs="仿宋"/>
          <w:b w:val="0"/>
          <w:bCs/>
          <w:color w:val="auto"/>
          <w:sz w:val="32"/>
          <w:szCs w:val="32"/>
        </w:rPr>
        <w:t>21年度</w:t>
      </w:r>
      <w:r>
        <w:rPr>
          <w:rFonts w:hint="eastAsia" w:ascii="仿宋" w:hAnsi="仿宋" w:eastAsia="仿宋" w:cs="仿宋"/>
          <w:b w:val="0"/>
          <w:bCs w:val="0"/>
          <w:sz w:val="32"/>
          <w:szCs w:val="32"/>
        </w:rPr>
        <w:t>一般公共预算</w:t>
      </w:r>
      <w:r>
        <w:rPr>
          <w:rFonts w:hint="eastAsia" w:ascii="仿宋" w:hAnsi="仿宋" w:eastAsia="仿宋" w:cs="仿宋"/>
          <w:b w:val="0"/>
          <w:bCs/>
          <w:color w:val="auto"/>
          <w:sz w:val="32"/>
          <w:szCs w:val="32"/>
        </w:rPr>
        <w:t>财政拨款</w:t>
      </w:r>
      <w:r>
        <w:rPr>
          <w:rFonts w:hint="eastAsia" w:ascii="仿宋" w:hAnsi="仿宋" w:eastAsia="仿宋" w:cs="仿宋"/>
          <w:b w:val="0"/>
          <w:bCs/>
          <w:color w:val="auto"/>
          <w:sz w:val="32"/>
          <w:szCs w:val="32"/>
          <w:lang w:eastAsia="zh-CN"/>
        </w:rPr>
        <w:t>项目</w:t>
      </w:r>
      <w:r>
        <w:rPr>
          <w:rFonts w:hint="eastAsia" w:ascii="仿宋" w:hAnsi="仿宋" w:eastAsia="仿宋" w:cs="仿宋"/>
          <w:b w:val="0"/>
          <w:bCs/>
          <w:color w:val="auto"/>
          <w:sz w:val="32"/>
          <w:szCs w:val="32"/>
        </w:rPr>
        <w:t>支出</w:t>
      </w:r>
      <w:r>
        <w:rPr>
          <w:rFonts w:hint="eastAsia" w:ascii="仿宋" w:hAnsi="仿宋" w:eastAsia="仿宋" w:cs="仿宋"/>
          <w:b w:val="0"/>
          <w:bCs/>
          <w:color w:val="auto"/>
          <w:sz w:val="32"/>
          <w:szCs w:val="32"/>
          <w:lang w:val="en-US" w:eastAsia="zh-CN"/>
        </w:rPr>
        <w:t>16.96</w:t>
      </w:r>
      <w:r>
        <w:rPr>
          <w:rFonts w:hint="eastAsia" w:ascii="仿宋" w:hAnsi="仿宋" w:eastAsia="仿宋" w:cs="仿宋"/>
          <w:b w:val="0"/>
          <w:bCs/>
          <w:color w:val="auto"/>
          <w:sz w:val="32"/>
          <w:szCs w:val="32"/>
        </w:rPr>
        <w:t>万元</w:t>
      </w:r>
      <w:r>
        <w:rPr>
          <w:rFonts w:hint="eastAsia" w:ascii="仿宋" w:hAnsi="仿宋" w:eastAsia="仿宋" w:cs="仿宋"/>
          <w:b w:val="0"/>
          <w:bCs/>
          <w:color w:val="auto"/>
          <w:sz w:val="32"/>
          <w:szCs w:val="32"/>
          <w:lang w:eastAsia="zh-CN"/>
        </w:rPr>
        <w:t>，其中：“三弦书”支出</w:t>
      </w:r>
      <w:r>
        <w:rPr>
          <w:rFonts w:hint="eastAsia" w:ascii="仿宋" w:hAnsi="仿宋" w:eastAsia="仿宋" w:cs="仿宋"/>
          <w:b w:val="0"/>
          <w:bCs/>
          <w:color w:val="auto"/>
          <w:sz w:val="32"/>
          <w:szCs w:val="32"/>
          <w:lang w:val="en-US" w:eastAsia="zh-CN"/>
        </w:rPr>
        <w:t>2万元，2020年免费开放经费支出14.96万元。</w:t>
      </w:r>
    </w:p>
    <w:p>
      <w:pPr>
        <w:keepNext w:val="0"/>
        <w:keepLines w:val="0"/>
        <w:pageBreakBefore w:val="0"/>
        <w:numPr>
          <w:ilvl w:val="0"/>
          <w:numId w:val="0"/>
        </w:numPr>
        <w:kinsoku/>
        <w:overflowPunct/>
        <w:topLinePunct w:val="0"/>
        <w:bidi w:val="0"/>
        <w:snapToGrid/>
        <w:spacing w:line="240" w:lineRule="auto"/>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（六）</w:t>
      </w:r>
      <w:r>
        <w:rPr>
          <w:rFonts w:hint="eastAsia" w:ascii="仿宋" w:hAnsi="仿宋" w:eastAsia="仿宋" w:cs="仿宋"/>
          <w:b/>
          <w:bCs w:val="0"/>
          <w:i w:val="0"/>
          <w:iCs w:val="0"/>
          <w:caps w:val="0"/>
          <w:color w:val="auto"/>
          <w:spacing w:val="0"/>
          <w:sz w:val="32"/>
          <w:szCs w:val="32"/>
          <w:shd w:val="clear" w:color="auto" w:fill="FFFFFF"/>
        </w:rPr>
        <w:t>政府性基金</w:t>
      </w:r>
      <w:r>
        <w:rPr>
          <w:rFonts w:hint="eastAsia" w:ascii="仿宋" w:hAnsi="仿宋" w:eastAsia="仿宋" w:cs="仿宋"/>
          <w:b/>
          <w:bCs w:val="0"/>
          <w:i w:val="0"/>
          <w:iCs w:val="0"/>
          <w:caps w:val="0"/>
          <w:color w:val="auto"/>
          <w:spacing w:val="0"/>
          <w:sz w:val="32"/>
          <w:szCs w:val="32"/>
          <w:shd w:val="clear" w:color="auto" w:fill="FFFFFF"/>
          <w:lang w:eastAsia="zh-CN"/>
        </w:rPr>
        <w:t>预算</w:t>
      </w:r>
      <w:r>
        <w:rPr>
          <w:rFonts w:hint="eastAsia" w:ascii="仿宋" w:hAnsi="仿宋" w:eastAsia="仿宋" w:cs="仿宋"/>
          <w:b/>
          <w:bCs w:val="0"/>
          <w:color w:val="auto"/>
          <w:sz w:val="32"/>
          <w:szCs w:val="32"/>
        </w:rPr>
        <w:t>财政拨款</w:t>
      </w:r>
      <w:r>
        <w:rPr>
          <w:rFonts w:hint="eastAsia" w:ascii="仿宋" w:hAnsi="仿宋" w:eastAsia="仿宋" w:cs="仿宋"/>
          <w:b/>
          <w:bCs w:val="0"/>
          <w:color w:val="auto"/>
          <w:sz w:val="32"/>
          <w:szCs w:val="32"/>
          <w:lang w:eastAsia="zh-CN"/>
        </w:rPr>
        <w:t>项目</w:t>
      </w:r>
      <w:r>
        <w:rPr>
          <w:rFonts w:hint="eastAsia" w:ascii="仿宋" w:hAnsi="仿宋" w:eastAsia="仿宋" w:cs="仿宋"/>
          <w:b/>
          <w:bCs w:val="0"/>
          <w:color w:val="auto"/>
          <w:sz w:val="32"/>
          <w:szCs w:val="32"/>
        </w:rPr>
        <w:t>支出决算情况说明</w:t>
      </w:r>
    </w:p>
    <w:p>
      <w:pPr>
        <w:keepNext w:val="0"/>
        <w:keepLines w:val="0"/>
        <w:pageBreakBefore w:val="0"/>
        <w:kinsoku/>
        <w:overflowPunct/>
        <w:topLinePunct w:val="0"/>
        <w:bidi w:val="0"/>
        <w:snapToGrid/>
        <w:spacing w:line="240" w:lineRule="auto"/>
        <w:ind w:firstLine="640" w:firstLineChars="200"/>
        <w:rPr>
          <w:rFonts w:hint="eastAsia" w:ascii="仿宋" w:hAnsi="仿宋" w:eastAsia="仿宋" w:cs="仿宋"/>
          <w:b/>
          <w:bCs w:val="0"/>
          <w:sz w:val="32"/>
          <w:szCs w:val="32"/>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w:t>
      </w:r>
      <w:r>
        <w:rPr>
          <w:rFonts w:hint="eastAsia" w:ascii="仿宋" w:hAnsi="仿宋" w:eastAsia="仿宋" w:cs="仿宋"/>
          <w:i w:val="0"/>
          <w:iCs w:val="0"/>
          <w:caps w:val="0"/>
          <w:color w:val="000000"/>
          <w:spacing w:val="0"/>
          <w:sz w:val="32"/>
          <w:szCs w:val="32"/>
          <w:shd w:val="clear" w:color="auto" w:fill="FFFFFF"/>
        </w:rPr>
        <w:t>年政府性基金</w:t>
      </w:r>
      <w:r>
        <w:rPr>
          <w:rFonts w:hint="eastAsia" w:ascii="仿宋" w:hAnsi="仿宋" w:eastAsia="仿宋" w:cs="仿宋"/>
          <w:b w:val="0"/>
          <w:bCs/>
          <w:i w:val="0"/>
          <w:iCs w:val="0"/>
          <w:caps w:val="0"/>
          <w:color w:val="auto"/>
          <w:spacing w:val="0"/>
          <w:sz w:val="32"/>
          <w:szCs w:val="32"/>
          <w:shd w:val="clear" w:color="auto" w:fill="FFFFFF"/>
          <w:lang w:eastAsia="zh-CN"/>
        </w:rPr>
        <w:t>预算</w:t>
      </w:r>
      <w:r>
        <w:rPr>
          <w:rFonts w:hint="eastAsia" w:ascii="仿宋" w:hAnsi="仿宋" w:eastAsia="仿宋" w:cs="仿宋"/>
          <w:b w:val="0"/>
          <w:bCs/>
          <w:color w:val="auto"/>
          <w:sz w:val="32"/>
          <w:szCs w:val="32"/>
        </w:rPr>
        <w:t>财政拨款</w:t>
      </w:r>
      <w:r>
        <w:rPr>
          <w:rFonts w:hint="eastAsia" w:ascii="仿宋" w:hAnsi="仿宋" w:eastAsia="仿宋" w:cs="仿宋"/>
          <w:b w:val="0"/>
          <w:bCs/>
          <w:color w:val="auto"/>
          <w:sz w:val="32"/>
          <w:szCs w:val="32"/>
          <w:lang w:eastAsia="zh-CN"/>
        </w:rPr>
        <w:t>项目</w:t>
      </w:r>
      <w:r>
        <w:rPr>
          <w:rFonts w:hint="eastAsia" w:ascii="仿宋" w:hAnsi="仿宋" w:eastAsia="仿宋" w:cs="仿宋"/>
          <w:i w:val="0"/>
          <w:iCs w:val="0"/>
          <w:caps w:val="0"/>
          <w:color w:val="000000"/>
          <w:spacing w:val="0"/>
          <w:sz w:val="32"/>
          <w:szCs w:val="32"/>
          <w:shd w:val="clear" w:color="auto" w:fill="FFFFFF"/>
        </w:rPr>
        <w:t>支出</w:t>
      </w:r>
      <w:r>
        <w:rPr>
          <w:rFonts w:hint="eastAsia" w:ascii="仿宋" w:hAnsi="仿宋" w:eastAsia="仿宋" w:cs="仿宋"/>
          <w:i w:val="0"/>
          <w:iCs w:val="0"/>
          <w:caps w:val="0"/>
          <w:color w:val="000000"/>
          <w:spacing w:val="0"/>
          <w:sz w:val="32"/>
          <w:szCs w:val="32"/>
          <w:shd w:val="clear" w:color="auto" w:fill="FFFFFF"/>
          <w:lang w:val="en-US" w:eastAsia="zh-CN"/>
        </w:rPr>
        <w:t>103.77万元，为A级景区A级厕所建设项目支出。</w:t>
      </w:r>
    </w:p>
    <w:p>
      <w:pPr>
        <w:keepNext w:val="0"/>
        <w:keepLines w:val="0"/>
        <w:pageBreakBefore w:val="0"/>
        <w:kinsoku/>
        <w:overflowPunct/>
        <w:topLinePunct w:val="0"/>
        <w:bidi w:val="0"/>
        <w:snapToGrid/>
        <w:spacing w:line="240" w:lineRule="auto"/>
        <w:ind w:firstLine="64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、一般公共预算财政拨款“三公”经费支出决算情况说明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210" w:beforeAutospacing="0" w:after="210" w:afterAutospacing="0" w:line="240" w:lineRule="auto"/>
        <w:ind w:right="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20</w:t>
      </w:r>
      <w:r>
        <w:rPr>
          <w:rFonts w:hint="eastAsia" w:ascii="仿宋" w:hAnsi="仿宋" w:eastAsia="仿宋" w:cs="仿宋"/>
          <w:i w:val="0"/>
          <w:iCs w:val="0"/>
          <w:caps w:val="0"/>
          <w:color w:val="000000"/>
          <w:spacing w:val="0"/>
          <w:sz w:val="32"/>
          <w:szCs w:val="32"/>
          <w:shd w:val="clear" w:color="auto" w:fill="FFFFFF"/>
          <w:lang w:val="en-US" w:eastAsia="zh-CN"/>
        </w:rPr>
        <w:t>21</w:t>
      </w:r>
      <w:r>
        <w:rPr>
          <w:rFonts w:hint="eastAsia" w:ascii="仿宋" w:hAnsi="仿宋" w:eastAsia="仿宋" w:cs="仿宋"/>
          <w:i w:val="0"/>
          <w:iCs w:val="0"/>
          <w:caps w:val="0"/>
          <w:color w:val="000000"/>
          <w:spacing w:val="0"/>
          <w:sz w:val="32"/>
          <w:szCs w:val="32"/>
          <w:shd w:val="clear" w:color="auto" w:fill="FFFFFF"/>
        </w:rPr>
        <w:t>年一般公共预算执行“三公”经费支出</w:t>
      </w:r>
      <w:r>
        <w:rPr>
          <w:rFonts w:hint="eastAsia" w:ascii="仿宋" w:hAnsi="仿宋" w:eastAsia="仿宋" w:cs="仿宋"/>
          <w:i w:val="0"/>
          <w:iCs w:val="0"/>
          <w:caps w:val="0"/>
          <w:color w:val="000000"/>
          <w:spacing w:val="0"/>
          <w:sz w:val="32"/>
          <w:szCs w:val="32"/>
          <w:shd w:val="clear" w:color="auto" w:fill="FFFFFF"/>
          <w:lang w:val="en-US" w:eastAsia="zh-CN"/>
        </w:rPr>
        <w:t>0.02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较上年</w:t>
      </w:r>
      <w:r>
        <w:rPr>
          <w:rFonts w:hint="eastAsia" w:ascii="仿宋" w:hAnsi="仿宋" w:eastAsia="仿宋" w:cs="仿宋"/>
          <w:i w:val="0"/>
          <w:iCs w:val="0"/>
          <w:caps w:val="0"/>
          <w:color w:val="000000"/>
          <w:spacing w:val="0"/>
          <w:sz w:val="32"/>
          <w:szCs w:val="32"/>
          <w:shd w:val="clear" w:color="auto" w:fill="FFFFFF"/>
        </w:rPr>
        <w:t>增加</w:t>
      </w:r>
      <w:r>
        <w:rPr>
          <w:rFonts w:hint="eastAsia" w:ascii="仿宋" w:hAnsi="仿宋" w:eastAsia="仿宋" w:cs="仿宋"/>
          <w:i w:val="0"/>
          <w:iCs w:val="0"/>
          <w:caps w:val="0"/>
          <w:color w:val="000000"/>
          <w:spacing w:val="0"/>
          <w:sz w:val="32"/>
          <w:szCs w:val="32"/>
          <w:shd w:val="clear" w:color="auto" w:fill="FFFFFF"/>
          <w:lang w:val="en-US" w:eastAsia="zh-CN"/>
        </w:rPr>
        <w:t>0.02万元，</w:t>
      </w:r>
      <w:r>
        <w:rPr>
          <w:rFonts w:hint="eastAsia" w:ascii="仿宋" w:hAnsi="仿宋" w:eastAsia="仿宋" w:cs="仿宋"/>
          <w:i w:val="0"/>
          <w:iCs w:val="0"/>
          <w:caps w:val="0"/>
          <w:color w:val="000000"/>
          <w:spacing w:val="0"/>
          <w:sz w:val="32"/>
          <w:szCs w:val="32"/>
          <w:shd w:val="clear" w:color="auto" w:fill="FFFFFF"/>
          <w:lang w:eastAsia="zh-CN"/>
        </w:rPr>
        <w:t>同比增加</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auto"/>
          <w:spacing w:val="0"/>
          <w:sz w:val="32"/>
          <w:szCs w:val="32"/>
          <w:shd w:val="clear" w:color="auto" w:fill="FFFFFF"/>
          <w:lang w:val="en-US" w:eastAsia="zh-CN"/>
        </w:rPr>
        <w:t>变动原因为主要为：文化馆流动服务车燃油费支出0.02万元</w:t>
      </w:r>
      <w:r>
        <w:rPr>
          <w:rFonts w:hint="eastAsia" w:ascii="仿宋" w:hAnsi="仿宋" w:eastAsia="仿宋" w:cs="仿宋"/>
          <w:i w:val="0"/>
          <w:iCs w:val="0"/>
          <w:caps w:val="0"/>
          <w:color w:val="auto"/>
          <w:spacing w:val="0"/>
          <w:sz w:val="32"/>
          <w:szCs w:val="32"/>
          <w:shd w:val="clear" w:color="auto" w:fill="FFFFFF"/>
        </w:rPr>
        <w:t>。</w:t>
      </w:r>
      <w:r>
        <w:rPr>
          <w:rFonts w:hint="eastAsia" w:ascii="仿宋" w:hAnsi="仿宋" w:eastAsia="仿宋" w:cs="仿宋"/>
          <w:i w:val="0"/>
          <w:iCs w:val="0"/>
          <w:caps w:val="0"/>
          <w:color w:val="auto"/>
          <w:spacing w:val="0"/>
          <w:sz w:val="32"/>
          <w:szCs w:val="32"/>
          <w:shd w:val="clear" w:color="auto" w:fill="FFFFFF"/>
          <w:lang w:eastAsia="zh-CN"/>
        </w:rPr>
        <w:t>其中，</w:t>
      </w:r>
      <w:r>
        <w:rPr>
          <w:rFonts w:hint="eastAsia" w:ascii="仿宋" w:hAnsi="仿宋" w:eastAsia="仿宋" w:cs="仿宋"/>
          <w:i w:val="0"/>
          <w:iCs w:val="0"/>
          <w:caps w:val="0"/>
          <w:color w:val="auto"/>
          <w:spacing w:val="0"/>
          <w:sz w:val="32"/>
          <w:szCs w:val="32"/>
          <w:shd w:val="clear" w:color="auto" w:fill="FFFFFF"/>
        </w:rPr>
        <w:t>公务接待费支出0万元，同比增加（减少）0万元，无增减</w:t>
      </w:r>
      <w:r>
        <w:rPr>
          <w:rFonts w:hint="eastAsia" w:ascii="仿宋" w:hAnsi="仿宋" w:eastAsia="仿宋" w:cs="仿宋"/>
          <w:i w:val="0"/>
          <w:iCs w:val="0"/>
          <w:caps w:val="0"/>
          <w:color w:val="000000"/>
          <w:spacing w:val="0"/>
          <w:sz w:val="32"/>
          <w:szCs w:val="32"/>
          <w:shd w:val="clear" w:color="auto" w:fill="FFFFFF"/>
        </w:rPr>
        <w:t>；公务用车购置及运行维护费支出</w:t>
      </w:r>
      <w:r>
        <w:rPr>
          <w:rFonts w:hint="eastAsia" w:ascii="仿宋" w:hAnsi="仿宋" w:eastAsia="仿宋" w:cs="仿宋"/>
          <w:i w:val="0"/>
          <w:iCs w:val="0"/>
          <w:caps w:val="0"/>
          <w:color w:val="000000"/>
          <w:spacing w:val="0"/>
          <w:sz w:val="32"/>
          <w:szCs w:val="32"/>
          <w:shd w:val="clear" w:color="auto" w:fill="FFFFFF"/>
          <w:lang w:val="en-US" w:eastAsia="zh-CN"/>
        </w:rPr>
        <w:t>0.02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较上年</w:t>
      </w:r>
      <w:r>
        <w:rPr>
          <w:rFonts w:hint="eastAsia" w:ascii="仿宋" w:hAnsi="仿宋" w:eastAsia="仿宋" w:cs="仿宋"/>
          <w:i w:val="0"/>
          <w:iCs w:val="0"/>
          <w:caps w:val="0"/>
          <w:color w:val="000000"/>
          <w:spacing w:val="0"/>
          <w:sz w:val="32"/>
          <w:szCs w:val="32"/>
          <w:shd w:val="clear" w:color="auto" w:fill="FFFFFF"/>
        </w:rPr>
        <w:t>增加</w:t>
      </w:r>
      <w:r>
        <w:rPr>
          <w:rFonts w:hint="eastAsia" w:ascii="仿宋" w:hAnsi="仿宋" w:eastAsia="仿宋" w:cs="仿宋"/>
          <w:i w:val="0"/>
          <w:iCs w:val="0"/>
          <w:caps w:val="0"/>
          <w:color w:val="000000"/>
          <w:spacing w:val="0"/>
          <w:sz w:val="32"/>
          <w:szCs w:val="32"/>
          <w:shd w:val="clear" w:color="auto" w:fill="FFFFFF"/>
          <w:lang w:val="en-US" w:eastAsia="zh-CN"/>
        </w:rPr>
        <w:t>0.02万元，</w:t>
      </w:r>
      <w:r>
        <w:rPr>
          <w:rFonts w:hint="eastAsia" w:ascii="仿宋" w:hAnsi="仿宋" w:eastAsia="仿宋" w:cs="仿宋"/>
          <w:i w:val="0"/>
          <w:iCs w:val="0"/>
          <w:caps w:val="0"/>
          <w:color w:val="000000"/>
          <w:spacing w:val="0"/>
          <w:sz w:val="32"/>
          <w:szCs w:val="32"/>
          <w:shd w:val="clear" w:color="auto" w:fill="FFFFFF"/>
          <w:lang w:eastAsia="zh-CN"/>
        </w:rPr>
        <w:t>同比增加</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000000"/>
          <w:spacing w:val="0"/>
          <w:sz w:val="32"/>
          <w:szCs w:val="32"/>
          <w:shd w:val="clear" w:color="auto" w:fill="FFFFFF"/>
        </w:rPr>
        <w:t>（其中公务用车购置费支出0万元，同比增加（减少）0万元，无增减</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公务用车运行维护费支出</w:t>
      </w:r>
      <w:r>
        <w:rPr>
          <w:rFonts w:hint="eastAsia" w:ascii="仿宋" w:hAnsi="仿宋" w:eastAsia="仿宋" w:cs="仿宋"/>
          <w:i w:val="0"/>
          <w:iCs w:val="0"/>
          <w:caps w:val="0"/>
          <w:color w:val="000000"/>
          <w:spacing w:val="0"/>
          <w:sz w:val="32"/>
          <w:szCs w:val="32"/>
          <w:shd w:val="clear" w:color="auto" w:fill="FFFFFF"/>
          <w:lang w:val="en-US" w:eastAsia="zh-CN"/>
        </w:rPr>
        <w:t>0.02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较上年</w:t>
      </w:r>
      <w:r>
        <w:rPr>
          <w:rFonts w:hint="eastAsia" w:ascii="仿宋" w:hAnsi="仿宋" w:eastAsia="仿宋" w:cs="仿宋"/>
          <w:i w:val="0"/>
          <w:iCs w:val="0"/>
          <w:caps w:val="0"/>
          <w:color w:val="000000"/>
          <w:spacing w:val="0"/>
          <w:sz w:val="32"/>
          <w:szCs w:val="32"/>
          <w:shd w:val="clear" w:color="auto" w:fill="FFFFFF"/>
        </w:rPr>
        <w:t>增加</w:t>
      </w:r>
      <w:r>
        <w:rPr>
          <w:rFonts w:hint="eastAsia" w:ascii="仿宋" w:hAnsi="仿宋" w:eastAsia="仿宋" w:cs="仿宋"/>
          <w:i w:val="0"/>
          <w:iCs w:val="0"/>
          <w:caps w:val="0"/>
          <w:color w:val="000000"/>
          <w:spacing w:val="0"/>
          <w:sz w:val="32"/>
          <w:szCs w:val="32"/>
          <w:shd w:val="clear" w:color="auto" w:fill="FFFFFF"/>
          <w:lang w:val="en-US" w:eastAsia="zh-CN"/>
        </w:rPr>
        <w:t>0.02万元，</w:t>
      </w:r>
      <w:r>
        <w:rPr>
          <w:rFonts w:hint="eastAsia" w:ascii="仿宋" w:hAnsi="仿宋" w:eastAsia="仿宋" w:cs="仿宋"/>
          <w:i w:val="0"/>
          <w:iCs w:val="0"/>
          <w:caps w:val="0"/>
          <w:color w:val="000000"/>
          <w:spacing w:val="0"/>
          <w:sz w:val="32"/>
          <w:szCs w:val="32"/>
          <w:shd w:val="clear" w:color="auto" w:fill="FFFFFF"/>
          <w:lang w:eastAsia="zh-CN"/>
        </w:rPr>
        <w:t>同比增加</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auto"/>
          <w:spacing w:val="0"/>
          <w:sz w:val="32"/>
          <w:szCs w:val="32"/>
          <w:shd w:val="clear" w:color="auto" w:fill="FFFFFF"/>
          <w:lang w:val="en-US" w:eastAsia="zh-CN"/>
        </w:rPr>
        <w:t>变动原因为主要为：文化馆流动服务车燃油费支出0.02万元</w:t>
      </w:r>
      <w:r>
        <w:rPr>
          <w:rFonts w:hint="eastAsia" w:ascii="仿宋" w:hAnsi="仿宋" w:eastAsia="仿宋" w:cs="仿宋"/>
          <w:i w:val="0"/>
          <w:iCs w:val="0"/>
          <w:caps w:val="0"/>
          <w:color w:val="auto"/>
          <w:spacing w:val="0"/>
          <w:sz w:val="32"/>
          <w:szCs w:val="32"/>
          <w:shd w:val="clear" w:color="auto" w:fill="FFFFFF"/>
        </w:rPr>
        <w:t>）；因公</w:t>
      </w:r>
      <w:r>
        <w:rPr>
          <w:rFonts w:hint="eastAsia" w:ascii="仿宋" w:hAnsi="仿宋" w:eastAsia="仿宋" w:cs="仿宋"/>
          <w:i w:val="0"/>
          <w:iCs w:val="0"/>
          <w:caps w:val="0"/>
          <w:color w:val="000000"/>
          <w:spacing w:val="0"/>
          <w:sz w:val="32"/>
          <w:szCs w:val="32"/>
          <w:shd w:val="clear" w:color="auto" w:fill="FFFFFF"/>
        </w:rPr>
        <w:t>出国（出境）费支出0万元，同比增加（减少）0万元，无增减。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210" w:beforeAutospacing="0" w:after="210" w:afterAutospacing="0" w:line="240" w:lineRule="auto"/>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机关运行经费支出情况说明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210" w:beforeAutospacing="0" w:after="210" w:afterAutospacing="0" w:line="240" w:lineRule="auto"/>
        <w:ind w:right="0" w:firstLine="640" w:firstLineChars="200"/>
        <w:jc w:val="both"/>
        <w:rPr>
          <w:rFonts w:hint="eastAsia" w:ascii="仿宋" w:hAnsi="仿宋" w:eastAsia="仿宋" w:cs="仿宋"/>
          <w:sz w:val="32"/>
          <w:szCs w:val="32"/>
          <w:lang w:val="en-US"/>
        </w:rPr>
      </w:pPr>
      <w:r>
        <w:rPr>
          <w:rFonts w:hint="eastAsia" w:ascii="仿宋" w:hAnsi="仿宋" w:eastAsia="仿宋" w:cs="仿宋"/>
          <w:i w:val="0"/>
          <w:iCs w:val="0"/>
          <w:caps w:val="0"/>
          <w:color w:val="000000"/>
          <w:spacing w:val="0"/>
          <w:sz w:val="32"/>
          <w:szCs w:val="32"/>
          <w:shd w:val="clear" w:color="auto" w:fill="FFFFFF"/>
        </w:rPr>
        <w:t>20</w:t>
      </w:r>
      <w:r>
        <w:rPr>
          <w:rFonts w:hint="eastAsia" w:ascii="仿宋" w:hAnsi="仿宋" w:eastAsia="仿宋" w:cs="仿宋"/>
          <w:i w:val="0"/>
          <w:iCs w:val="0"/>
          <w:caps w:val="0"/>
          <w:color w:val="000000"/>
          <w:spacing w:val="0"/>
          <w:sz w:val="32"/>
          <w:szCs w:val="32"/>
          <w:shd w:val="clear" w:color="auto" w:fill="FFFFFF"/>
          <w:lang w:val="en-US" w:eastAsia="zh-CN"/>
        </w:rPr>
        <w:t>21</w:t>
      </w:r>
      <w:r>
        <w:rPr>
          <w:rFonts w:hint="eastAsia" w:ascii="仿宋" w:hAnsi="仿宋" w:eastAsia="仿宋" w:cs="仿宋"/>
          <w:i w:val="0"/>
          <w:iCs w:val="0"/>
          <w:caps w:val="0"/>
          <w:color w:val="000000"/>
          <w:spacing w:val="0"/>
          <w:sz w:val="32"/>
          <w:szCs w:val="32"/>
          <w:shd w:val="clear" w:color="auto" w:fill="FFFFFF"/>
        </w:rPr>
        <w:t>年机关运行经费</w:t>
      </w:r>
      <w:r>
        <w:rPr>
          <w:rFonts w:hint="eastAsia" w:ascii="仿宋" w:hAnsi="仿宋" w:eastAsia="仿宋" w:cs="仿宋"/>
          <w:i w:val="0"/>
          <w:iCs w:val="0"/>
          <w:caps w:val="0"/>
          <w:color w:val="000000"/>
          <w:spacing w:val="0"/>
          <w:sz w:val="32"/>
          <w:szCs w:val="32"/>
          <w:shd w:val="clear" w:color="auto" w:fill="FFFFFF"/>
          <w:lang w:val="en-US" w:eastAsia="zh-CN"/>
        </w:rPr>
        <w:t>844.00万元，2020年</w:t>
      </w:r>
      <w:r>
        <w:rPr>
          <w:rFonts w:hint="eastAsia" w:ascii="仿宋" w:hAnsi="仿宋" w:eastAsia="仿宋" w:cs="仿宋"/>
          <w:i w:val="0"/>
          <w:iCs w:val="0"/>
          <w:caps w:val="0"/>
          <w:color w:val="000000"/>
          <w:spacing w:val="0"/>
          <w:sz w:val="32"/>
          <w:szCs w:val="32"/>
          <w:shd w:val="clear" w:color="auto" w:fill="FFFFFF"/>
        </w:rPr>
        <w:t>机关运行经费</w:t>
      </w:r>
      <w:r>
        <w:rPr>
          <w:rFonts w:hint="eastAsia" w:ascii="仿宋" w:hAnsi="仿宋" w:eastAsia="仿宋" w:cs="仿宋"/>
          <w:i w:val="0"/>
          <w:iCs w:val="0"/>
          <w:caps w:val="0"/>
          <w:color w:val="000000"/>
          <w:spacing w:val="0"/>
          <w:sz w:val="32"/>
          <w:szCs w:val="32"/>
          <w:shd w:val="clear" w:color="auto" w:fill="FFFFFF"/>
          <w:lang w:val="en-US" w:eastAsia="zh-CN"/>
        </w:rPr>
        <w:t>392.16</w:t>
      </w:r>
      <w:r>
        <w:rPr>
          <w:rFonts w:hint="eastAsia" w:ascii="仿宋" w:hAnsi="仿宋" w:eastAsia="仿宋" w:cs="仿宋"/>
          <w:i w:val="0"/>
          <w:iCs w:val="0"/>
          <w:caps w:val="0"/>
          <w:color w:val="000000"/>
          <w:spacing w:val="0"/>
          <w:sz w:val="32"/>
          <w:szCs w:val="32"/>
          <w:shd w:val="clear" w:color="auto" w:fill="FFFFFF"/>
        </w:rPr>
        <w:t>万元，比上年</w:t>
      </w:r>
      <w:r>
        <w:rPr>
          <w:rFonts w:hint="eastAsia" w:ascii="仿宋" w:hAnsi="仿宋" w:eastAsia="仿宋" w:cs="仿宋"/>
          <w:i w:val="0"/>
          <w:iCs w:val="0"/>
          <w:caps w:val="0"/>
          <w:color w:val="000000"/>
          <w:spacing w:val="0"/>
          <w:sz w:val="32"/>
          <w:szCs w:val="32"/>
          <w:shd w:val="clear" w:color="auto" w:fill="FFFFFF"/>
          <w:lang w:eastAsia="zh-CN"/>
        </w:rPr>
        <w:t>增加</w:t>
      </w:r>
      <w:r>
        <w:rPr>
          <w:rFonts w:hint="eastAsia" w:ascii="仿宋" w:hAnsi="仿宋" w:eastAsia="仿宋" w:cs="仿宋"/>
          <w:i w:val="0"/>
          <w:iCs w:val="0"/>
          <w:caps w:val="0"/>
          <w:color w:val="000000"/>
          <w:spacing w:val="0"/>
          <w:sz w:val="32"/>
          <w:szCs w:val="32"/>
          <w:shd w:val="clear" w:color="auto" w:fill="FFFFFF"/>
          <w:lang w:val="en-US" w:eastAsia="zh-CN"/>
        </w:rPr>
        <w:t>451.84</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同比增加</w:t>
      </w:r>
      <w:r>
        <w:rPr>
          <w:rFonts w:hint="eastAsia" w:ascii="仿宋" w:hAnsi="仿宋" w:eastAsia="仿宋" w:cs="仿宋"/>
          <w:i w:val="0"/>
          <w:iCs w:val="0"/>
          <w:caps w:val="0"/>
          <w:color w:val="000000"/>
          <w:spacing w:val="0"/>
          <w:sz w:val="32"/>
          <w:szCs w:val="32"/>
          <w:shd w:val="clear" w:color="auto" w:fill="FFFFFF"/>
          <w:lang w:val="en-US" w:eastAsia="zh-CN"/>
        </w:rPr>
        <w:t>115.22%，</w:t>
      </w:r>
      <w:r>
        <w:rPr>
          <w:rFonts w:hint="eastAsia" w:ascii="仿宋" w:hAnsi="仿宋" w:eastAsia="仿宋" w:cs="仿宋"/>
          <w:i w:val="0"/>
          <w:iCs w:val="0"/>
          <w:caps w:val="0"/>
          <w:color w:val="000000"/>
          <w:spacing w:val="0"/>
          <w:sz w:val="32"/>
          <w:szCs w:val="32"/>
          <w:shd w:val="clear" w:color="auto" w:fill="FFFFFF"/>
          <w:lang w:eastAsia="zh-CN"/>
        </w:rPr>
        <w:t>变动</w:t>
      </w:r>
      <w:r>
        <w:rPr>
          <w:rFonts w:hint="eastAsia" w:ascii="仿宋" w:hAnsi="仿宋" w:eastAsia="仿宋" w:cs="仿宋"/>
          <w:i w:val="0"/>
          <w:iCs w:val="0"/>
          <w:caps w:val="0"/>
          <w:color w:val="000000"/>
          <w:spacing w:val="0"/>
          <w:sz w:val="32"/>
          <w:szCs w:val="32"/>
          <w:shd w:val="clear" w:color="auto" w:fill="FFFFFF"/>
        </w:rPr>
        <w:t>原因</w:t>
      </w:r>
      <w:r>
        <w:rPr>
          <w:rFonts w:hint="eastAsia" w:ascii="仿宋" w:hAnsi="仿宋" w:eastAsia="仿宋" w:cs="仿宋"/>
          <w:i w:val="0"/>
          <w:iCs w:val="0"/>
          <w:caps w:val="0"/>
          <w:color w:val="000000"/>
          <w:spacing w:val="0"/>
          <w:sz w:val="32"/>
          <w:szCs w:val="32"/>
          <w:shd w:val="clear" w:color="auto" w:fill="FFFFFF"/>
          <w:lang w:eastAsia="zh-CN"/>
        </w:rPr>
        <w:t>主要为</w:t>
      </w:r>
      <w:r>
        <w:rPr>
          <w:rFonts w:hint="eastAsia" w:ascii="仿宋" w:hAnsi="仿宋" w:eastAsia="仿宋" w:cs="仿宋"/>
          <w:i w:val="0"/>
          <w:iCs w:val="0"/>
          <w:caps w:val="0"/>
          <w:color w:val="000000"/>
          <w:spacing w:val="0"/>
          <w:sz w:val="32"/>
          <w:szCs w:val="32"/>
          <w:shd w:val="clear" w:color="auto" w:fill="FFFFFF"/>
          <w:lang w:val="en-US" w:eastAsia="zh-CN"/>
        </w:rPr>
        <w:t>2021年机构改革，下属单位并回，</w:t>
      </w:r>
      <w:r>
        <w:rPr>
          <w:rFonts w:hint="eastAsia" w:ascii="仿宋" w:hAnsi="仿宋" w:eastAsia="仿宋" w:cs="仿宋"/>
          <w:i w:val="0"/>
          <w:iCs w:val="0"/>
          <w:caps w:val="0"/>
          <w:color w:val="000000"/>
          <w:spacing w:val="0"/>
          <w:sz w:val="32"/>
          <w:szCs w:val="32"/>
          <w:shd w:val="clear" w:color="auto" w:fill="FFFFFF"/>
        </w:rPr>
        <w:t>机关运行经费</w:t>
      </w:r>
      <w:r>
        <w:rPr>
          <w:rFonts w:hint="eastAsia" w:ascii="仿宋" w:hAnsi="仿宋" w:eastAsia="仿宋" w:cs="仿宋"/>
          <w:i w:val="0"/>
          <w:iCs w:val="0"/>
          <w:caps w:val="0"/>
          <w:color w:val="000000"/>
          <w:spacing w:val="0"/>
          <w:sz w:val="32"/>
          <w:szCs w:val="32"/>
          <w:shd w:val="clear" w:color="auto" w:fill="FFFFFF"/>
          <w:lang w:eastAsia="zh-CN"/>
        </w:rPr>
        <w:t>增加</w:t>
      </w:r>
      <w:r>
        <w:rPr>
          <w:rFonts w:hint="eastAsia" w:ascii="仿宋" w:hAnsi="仿宋" w:eastAsia="仿宋" w:cs="仿宋"/>
          <w:i w:val="0"/>
          <w:iCs w:val="0"/>
          <w:caps w:val="0"/>
          <w:color w:val="000000"/>
          <w:spacing w:val="0"/>
          <w:sz w:val="32"/>
          <w:szCs w:val="32"/>
          <w:shd w:val="clear" w:color="auto" w:fill="FFFFFF"/>
          <w:lang w:val="en-US" w:eastAsia="zh-CN"/>
        </w:rPr>
        <w:t>。</w:t>
      </w:r>
    </w:p>
    <w:p>
      <w:pPr>
        <w:keepNext w:val="0"/>
        <w:keepLines w:val="0"/>
        <w:pageBreakBefore w:val="0"/>
        <w:kinsoku/>
        <w:overflowPunct/>
        <w:topLinePunct w:val="0"/>
        <w:bidi w:val="0"/>
        <w:snapToGrid/>
        <w:spacing w:line="240" w:lineRule="auto"/>
        <w:ind w:firstLine="640"/>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政府采购情况说明</w:t>
      </w:r>
    </w:p>
    <w:p>
      <w:pPr>
        <w:keepNext w:val="0"/>
        <w:keepLines w:val="0"/>
        <w:pageBreakBefore w:val="0"/>
        <w:kinsoku/>
        <w:overflowPunct/>
        <w:topLinePunct w:val="0"/>
        <w:bidi w:val="0"/>
        <w:snapToGrid/>
        <w:spacing w:line="240" w:lineRule="auto"/>
        <w:ind w:firstLine="640"/>
        <w:outlineLvl w:val="0"/>
        <w:rPr>
          <w:rFonts w:hint="eastAsia" w:ascii="仿宋_GB2312" w:hAnsi="Calibri" w:eastAsia="仿宋_GB2312" w:cs="Times New Roman"/>
          <w:color w:val="FF0000"/>
          <w:sz w:val="32"/>
          <w:szCs w:val="32"/>
        </w:rPr>
      </w:pPr>
      <w:r>
        <w:rPr>
          <w:rFonts w:hint="eastAsia" w:ascii="仿宋_GB2312" w:hAnsi="Calibri" w:eastAsia="仿宋_GB2312" w:cs="Times New Roman"/>
          <w:sz w:val="32"/>
          <w:szCs w:val="32"/>
        </w:rPr>
        <w:t>2021年度政府采购支出总额</w:t>
      </w:r>
      <w:r>
        <w:rPr>
          <w:rFonts w:hint="eastAsia" w:ascii="仿宋_GB2312" w:hAnsi="Calibri" w:eastAsia="仿宋_GB2312" w:cs="Times New Roman"/>
          <w:sz w:val="32"/>
          <w:szCs w:val="32"/>
          <w:lang w:val="en-US" w:eastAsia="zh-CN"/>
        </w:rPr>
        <w:t>211.42</w:t>
      </w:r>
      <w:r>
        <w:rPr>
          <w:rFonts w:hint="eastAsia" w:ascii="仿宋_GB2312" w:hAnsi="Calibri" w:eastAsia="仿宋_GB2312" w:cs="Times New Roman"/>
          <w:sz w:val="32"/>
          <w:szCs w:val="32"/>
        </w:rPr>
        <w:t>万元，其中：政府采购工程支出</w:t>
      </w:r>
      <w:r>
        <w:rPr>
          <w:rFonts w:hint="eastAsia" w:ascii="仿宋_GB2312" w:hAnsi="Calibri" w:eastAsia="仿宋_GB2312" w:cs="Times New Roman"/>
          <w:sz w:val="32"/>
          <w:szCs w:val="32"/>
          <w:lang w:val="en-US" w:eastAsia="zh-CN"/>
        </w:rPr>
        <w:t>144.00</w:t>
      </w:r>
      <w:r>
        <w:rPr>
          <w:rFonts w:hint="eastAsia" w:ascii="仿宋_GB2312" w:hAnsi="Calibri" w:eastAsia="仿宋_GB2312" w:cs="Times New Roman"/>
          <w:sz w:val="32"/>
          <w:szCs w:val="32"/>
        </w:rPr>
        <w:t>万元、政府采购服务支出</w:t>
      </w:r>
      <w:r>
        <w:rPr>
          <w:rFonts w:hint="eastAsia" w:ascii="仿宋_GB2312" w:hAnsi="Calibri" w:eastAsia="仿宋_GB2312" w:cs="Times New Roman"/>
          <w:sz w:val="32"/>
          <w:szCs w:val="32"/>
          <w:lang w:val="en-US" w:eastAsia="zh-CN"/>
        </w:rPr>
        <w:t>67.42</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政府采购货物支出</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万元。</w:t>
      </w:r>
      <w:r>
        <w:rPr>
          <w:rFonts w:hint="eastAsia" w:ascii="仿宋_GB2312" w:hAnsi="Calibri" w:eastAsia="仿宋_GB2312" w:cs="Times New Roman"/>
          <w:color w:val="auto"/>
          <w:sz w:val="32"/>
          <w:szCs w:val="32"/>
        </w:rPr>
        <w:t>政府采购授予中小企业合同金额</w:t>
      </w:r>
      <w:r>
        <w:rPr>
          <w:rFonts w:hint="eastAsia" w:ascii="仿宋_GB2312" w:hAnsi="Calibri" w:eastAsia="仿宋_GB2312" w:cs="Times New Roman"/>
          <w:color w:val="auto"/>
          <w:sz w:val="32"/>
          <w:szCs w:val="32"/>
          <w:lang w:val="en-US" w:eastAsia="zh-CN"/>
        </w:rPr>
        <w:t>67.42</w:t>
      </w:r>
      <w:r>
        <w:rPr>
          <w:rFonts w:hint="eastAsia" w:ascii="仿宋_GB2312" w:hAnsi="Calibri" w:eastAsia="仿宋_GB2312" w:cs="Times New Roman"/>
          <w:color w:val="auto"/>
          <w:sz w:val="32"/>
          <w:szCs w:val="32"/>
        </w:rPr>
        <w:t>万元，占政府采购支出总额的</w:t>
      </w:r>
      <w:r>
        <w:rPr>
          <w:rFonts w:hint="eastAsia" w:ascii="仿宋_GB2312" w:hAnsi="Calibri" w:eastAsia="仿宋_GB2312" w:cs="Times New Roman"/>
          <w:color w:val="auto"/>
          <w:sz w:val="32"/>
          <w:szCs w:val="32"/>
          <w:lang w:val="en-US" w:eastAsia="zh-CN"/>
        </w:rPr>
        <w:t>31.89</w:t>
      </w:r>
      <w:r>
        <w:rPr>
          <w:rFonts w:hint="eastAsia" w:ascii="仿宋_GB2312" w:hAnsi="Calibri" w:eastAsia="仿宋_GB2312" w:cs="Times New Roman"/>
          <w:color w:val="auto"/>
          <w:sz w:val="32"/>
          <w:szCs w:val="32"/>
        </w:rPr>
        <w:t>%。其中：授予小微企业合同金额</w:t>
      </w:r>
      <w:r>
        <w:rPr>
          <w:rFonts w:hint="eastAsia" w:ascii="仿宋_GB2312" w:hAnsi="Calibri" w:eastAsia="仿宋_GB2312" w:cs="Times New Roman"/>
          <w:color w:val="auto"/>
          <w:sz w:val="32"/>
          <w:szCs w:val="32"/>
          <w:lang w:val="en-US" w:eastAsia="zh-CN"/>
        </w:rPr>
        <w:t>67.42</w:t>
      </w:r>
      <w:r>
        <w:rPr>
          <w:rFonts w:hint="eastAsia" w:ascii="仿宋_GB2312" w:hAnsi="Calibri" w:eastAsia="仿宋_GB2312" w:cs="Times New Roman"/>
          <w:color w:val="auto"/>
          <w:sz w:val="32"/>
          <w:szCs w:val="32"/>
        </w:rPr>
        <w:t>万元，占政府采购支出总额的</w:t>
      </w:r>
      <w:r>
        <w:rPr>
          <w:rFonts w:hint="eastAsia" w:ascii="仿宋_GB2312" w:hAnsi="Calibri" w:eastAsia="仿宋_GB2312" w:cs="Times New Roman"/>
          <w:color w:val="auto"/>
          <w:sz w:val="32"/>
          <w:szCs w:val="32"/>
          <w:lang w:val="en-US" w:eastAsia="zh-CN"/>
        </w:rPr>
        <w:t>31.89</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FF0000"/>
          <w:sz w:val="32"/>
          <w:szCs w:val="32"/>
        </w:rPr>
        <w:t>.</w:t>
      </w:r>
    </w:p>
    <w:p>
      <w:pPr>
        <w:keepNext w:val="0"/>
        <w:keepLines w:val="0"/>
        <w:pageBreakBefore w:val="0"/>
        <w:kinsoku/>
        <w:overflowPunct/>
        <w:topLinePunct w:val="0"/>
        <w:bidi w:val="0"/>
        <w:snapToGrid/>
        <w:spacing w:line="240" w:lineRule="auto"/>
        <w:ind w:firstLine="64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预算绩效情况说明</w:t>
      </w:r>
    </w:p>
    <w:p>
      <w:pPr>
        <w:keepNext w:val="0"/>
        <w:keepLines w:val="0"/>
        <w:pageBreakBefore w:val="0"/>
        <w:kinsoku/>
        <w:overflowPunct/>
        <w:topLinePunct w:val="0"/>
        <w:bidi w:val="0"/>
        <w:snapToGrid/>
        <w:spacing w:line="240" w:lineRule="auto"/>
        <w:ind w:firstLine="640"/>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绩效管理评价工作开展情况。</w:t>
      </w:r>
    </w:p>
    <w:p>
      <w:pPr>
        <w:keepNext w:val="0"/>
        <w:keepLines w:val="0"/>
        <w:pageBreakBefore w:val="0"/>
        <w:kinsoku/>
        <w:overflowPunct/>
        <w:topLinePunct w:val="0"/>
        <w:bidi w:val="0"/>
        <w:snapToGrid/>
        <w:spacing w:line="240" w:lineRule="auto"/>
        <w:ind w:firstLine="640"/>
        <w:rPr>
          <w:rFonts w:hint="eastAsia" w:ascii="仿宋" w:hAnsi="仿宋" w:eastAsia="仿宋" w:cs="仿宋"/>
          <w:sz w:val="32"/>
          <w:szCs w:val="32"/>
        </w:rPr>
      </w:pPr>
      <w:r>
        <w:rPr>
          <w:rFonts w:hint="eastAsia" w:ascii="仿宋" w:hAnsi="仿宋" w:eastAsia="仿宋" w:cs="仿宋"/>
          <w:sz w:val="32"/>
          <w:szCs w:val="32"/>
        </w:rPr>
        <w:t>根据预算绩效管理要求，我</w:t>
      </w:r>
      <w:r>
        <w:rPr>
          <w:rFonts w:hint="eastAsia" w:ascii="仿宋" w:hAnsi="仿宋" w:eastAsia="仿宋" w:cs="仿宋"/>
          <w:sz w:val="32"/>
          <w:szCs w:val="32"/>
          <w:lang w:eastAsia="zh-CN"/>
        </w:rPr>
        <w:t>单位</w:t>
      </w:r>
      <w:r>
        <w:rPr>
          <w:rFonts w:hint="eastAsia" w:ascii="仿宋" w:hAnsi="仿宋" w:eastAsia="仿宋" w:cs="仿宋"/>
          <w:sz w:val="32"/>
          <w:szCs w:val="32"/>
        </w:rPr>
        <w:t>组织对2021年度</w:t>
      </w:r>
      <w:r>
        <w:rPr>
          <w:rFonts w:hint="eastAsia" w:ascii="仿宋" w:hAnsi="仿宋" w:eastAsia="仿宋" w:cs="仿宋"/>
          <w:sz w:val="32"/>
          <w:szCs w:val="32"/>
          <w:lang w:eastAsia="zh-CN"/>
        </w:rPr>
        <w:t>部门</w:t>
      </w:r>
      <w:r>
        <w:rPr>
          <w:rFonts w:hint="eastAsia" w:ascii="仿宋" w:hAnsi="仿宋" w:eastAsia="仿宋" w:cs="仿宋"/>
          <w:sz w:val="32"/>
          <w:szCs w:val="32"/>
        </w:rPr>
        <w:t>预算项目支出</w:t>
      </w:r>
      <w:r>
        <w:rPr>
          <w:rFonts w:hint="eastAsia" w:ascii="仿宋" w:hAnsi="仿宋" w:eastAsia="仿宋" w:cs="仿宋"/>
          <w:sz w:val="32"/>
          <w:szCs w:val="32"/>
          <w:lang w:eastAsia="zh-CN"/>
        </w:rPr>
        <w:t>中其他运转类项目和特定目标类项目</w:t>
      </w:r>
      <w:r>
        <w:rPr>
          <w:rFonts w:hint="eastAsia" w:ascii="仿宋" w:hAnsi="仿宋" w:eastAsia="仿宋" w:cs="仿宋"/>
          <w:sz w:val="32"/>
          <w:szCs w:val="32"/>
        </w:rPr>
        <w:t>全面开展绩效自评</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color w:val="auto"/>
          <w:sz w:val="32"/>
          <w:szCs w:val="32"/>
        </w:rPr>
        <w:t xml:space="preserve">二级项目 </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w:t>
      </w:r>
      <w:r>
        <w:rPr>
          <w:rFonts w:hint="eastAsia" w:ascii="仿宋" w:hAnsi="仿宋" w:eastAsia="仿宋" w:cs="仿宋"/>
          <w:sz w:val="32"/>
          <w:szCs w:val="32"/>
        </w:rPr>
        <w:t>，共涉及资金</w:t>
      </w:r>
      <w:r>
        <w:rPr>
          <w:rFonts w:hint="eastAsia" w:ascii="仿宋" w:hAnsi="仿宋" w:eastAsia="仿宋" w:cs="仿宋"/>
          <w:sz w:val="32"/>
          <w:szCs w:val="32"/>
          <w:lang w:val="en-US" w:eastAsia="zh-CN"/>
        </w:rPr>
        <w:t>16.96</w:t>
      </w:r>
      <w:r>
        <w:rPr>
          <w:rFonts w:hint="eastAsia" w:ascii="仿宋" w:hAnsi="仿宋" w:eastAsia="仿宋" w:cs="仿宋"/>
          <w:sz w:val="32"/>
          <w:szCs w:val="32"/>
        </w:rPr>
        <w:t>万元，占一般公共预算项目支出总额的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%。组织对 2021年度</w:t>
      </w:r>
      <w:r>
        <w:rPr>
          <w:rFonts w:hint="eastAsia" w:ascii="仿宋" w:hAnsi="仿宋" w:eastAsia="仿宋" w:cs="仿宋"/>
          <w:sz w:val="32"/>
          <w:szCs w:val="32"/>
          <w:lang w:val="en-US" w:eastAsia="zh-CN"/>
        </w:rPr>
        <w:t>1个</w:t>
      </w:r>
      <w:r>
        <w:rPr>
          <w:rFonts w:hint="eastAsia" w:ascii="仿宋" w:hAnsi="仿宋" w:eastAsia="仿宋" w:cs="仿宋"/>
          <w:sz w:val="32"/>
          <w:szCs w:val="32"/>
        </w:rPr>
        <w:t>政府性基金预算项目</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sz w:val="32"/>
          <w:szCs w:val="32"/>
          <w:shd w:val="clear" w:color="auto" w:fill="FFFFFF"/>
          <w:lang w:val="en-US" w:eastAsia="zh-CN"/>
        </w:rPr>
        <w:t>A级景区A级厕所建设项目</w:t>
      </w:r>
      <w:r>
        <w:rPr>
          <w:rFonts w:hint="eastAsia" w:ascii="仿宋" w:hAnsi="仿宋" w:eastAsia="仿宋" w:cs="仿宋"/>
          <w:sz w:val="32"/>
          <w:szCs w:val="32"/>
        </w:rPr>
        <w:t xml:space="preserve">支出开展绩效自评，共涉及资金 </w:t>
      </w:r>
      <w:r>
        <w:rPr>
          <w:rFonts w:hint="eastAsia" w:ascii="仿宋" w:hAnsi="仿宋" w:eastAsia="仿宋" w:cs="仿宋"/>
          <w:sz w:val="32"/>
          <w:szCs w:val="32"/>
          <w:lang w:val="en-US" w:eastAsia="zh-CN"/>
        </w:rPr>
        <w:t>103.77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占政府性基金预算项目支出总额的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kinsoku/>
        <w:overflowPunct/>
        <w:topLinePunct w:val="0"/>
        <w:bidi w:val="0"/>
        <w:snapToGrid/>
        <w:spacing w:line="240" w:lineRule="auto"/>
        <w:ind w:firstLine="640"/>
        <w:rPr>
          <w:rFonts w:hint="eastAsia" w:ascii="仿宋" w:hAnsi="仿宋" w:eastAsia="仿宋" w:cs="仿宋"/>
          <w:color w:val="FF0000"/>
          <w:sz w:val="32"/>
          <w:szCs w:val="32"/>
        </w:rPr>
      </w:pPr>
      <w:r>
        <w:rPr>
          <w:rFonts w:hint="eastAsia" w:ascii="仿宋" w:hAnsi="仿宋" w:eastAsia="仿宋" w:cs="仿宋"/>
          <w:sz w:val="32"/>
          <w:szCs w:val="32"/>
        </w:rPr>
        <w:t>组织对“</w:t>
      </w:r>
      <w:r>
        <w:rPr>
          <w:rFonts w:hint="eastAsia" w:ascii="仿宋" w:hAnsi="仿宋" w:eastAsia="仿宋" w:cs="仿宋"/>
          <w:sz w:val="32"/>
          <w:szCs w:val="32"/>
          <w:lang w:eastAsia="zh-CN"/>
        </w:rPr>
        <w:t>三弦书</w:t>
      </w:r>
      <w:r>
        <w:rPr>
          <w:rFonts w:hint="eastAsia" w:ascii="仿宋" w:hAnsi="仿宋" w:eastAsia="仿宋" w:cs="仿宋"/>
          <w:sz w:val="32"/>
          <w:szCs w:val="32"/>
        </w:rPr>
        <w:t>”“</w:t>
      </w:r>
      <w:r>
        <w:rPr>
          <w:rFonts w:hint="eastAsia" w:ascii="仿宋" w:hAnsi="仿宋" w:eastAsia="仿宋" w:cs="仿宋"/>
          <w:sz w:val="32"/>
          <w:szCs w:val="32"/>
          <w:lang w:val="en-US" w:eastAsia="zh-CN"/>
        </w:rPr>
        <w:t>2020年免费开放经费</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sz w:val="32"/>
          <w:szCs w:val="32"/>
          <w:shd w:val="clear" w:color="auto" w:fill="FFFFFF"/>
          <w:lang w:val="en-US" w:eastAsia="zh-CN"/>
        </w:rPr>
        <w:t>A级景区A级厕所建设项目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个项目开展了部门评价，涉及一般公共预算支出</w:t>
      </w:r>
      <w:r>
        <w:rPr>
          <w:rFonts w:hint="eastAsia" w:ascii="仿宋" w:hAnsi="仿宋" w:eastAsia="仿宋" w:cs="仿宋"/>
          <w:sz w:val="32"/>
          <w:szCs w:val="32"/>
          <w:lang w:val="en-US" w:eastAsia="zh-CN"/>
        </w:rPr>
        <w:t>16.96</w:t>
      </w:r>
      <w:r>
        <w:rPr>
          <w:rFonts w:hint="eastAsia" w:ascii="仿宋" w:hAnsi="仿宋" w:eastAsia="仿宋" w:cs="仿宋"/>
          <w:sz w:val="32"/>
          <w:szCs w:val="32"/>
        </w:rPr>
        <w:t>万元，政府性基金预算支出</w:t>
      </w:r>
      <w:r>
        <w:rPr>
          <w:rFonts w:hint="eastAsia" w:ascii="仿宋" w:hAnsi="仿宋" w:eastAsia="仿宋" w:cs="仿宋"/>
          <w:sz w:val="32"/>
          <w:szCs w:val="32"/>
          <w:lang w:val="en-US" w:eastAsia="zh-CN"/>
        </w:rPr>
        <w:t>103.77</w:t>
      </w:r>
      <w:r>
        <w:rPr>
          <w:rFonts w:hint="eastAsia" w:ascii="仿宋" w:hAnsi="仿宋" w:eastAsia="仿宋" w:cs="仿宋"/>
          <w:sz w:val="32"/>
          <w:szCs w:val="32"/>
        </w:rPr>
        <w:t>万元，</w:t>
      </w:r>
      <w:r>
        <w:rPr>
          <w:rFonts w:hint="eastAsia" w:ascii="仿宋" w:hAnsi="仿宋" w:eastAsia="仿宋" w:cs="仿宋"/>
          <w:color w:val="auto"/>
          <w:sz w:val="32"/>
          <w:szCs w:val="32"/>
        </w:rPr>
        <w:t>从评价情况来看，</w:t>
      </w:r>
      <w:r>
        <w:rPr>
          <w:rFonts w:hint="eastAsia" w:ascii="仿宋" w:hAnsi="仿宋" w:eastAsia="仿宋" w:cs="仿宋"/>
          <w:color w:val="000000" w:themeColor="text1"/>
          <w:sz w:val="32"/>
          <w:szCs w:val="32"/>
          <w:lang w:val="en-US" w:eastAsia="zh-CN"/>
          <w14:textFill>
            <w14:solidFill>
              <w14:schemeClr w14:val="tx1"/>
            </w14:solidFill>
          </w14:textFill>
        </w:rPr>
        <w:t>根据预算绩效运行管理办法，结合本单位的实际情况，建立健全财务管理制度和约束机制，依法、有效地使用财政资金，提高财政资金使用效率，完成了较高的工作效率和支出绩效。</w:t>
      </w:r>
    </w:p>
    <w:p>
      <w:pPr>
        <w:keepNext w:val="0"/>
        <w:keepLines w:val="0"/>
        <w:pageBreakBefore w:val="0"/>
        <w:kinsoku/>
        <w:overflowPunct/>
        <w:topLinePunct w:val="0"/>
        <w:bidi w:val="0"/>
        <w:snapToGrid/>
        <w:spacing w:line="240" w:lineRule="auto"/>
        <w:ind w:firstLine="640"/>
        <w:rPr>
          <w:rFonts w:hint="eastAsia" w:ascii="仿宋" w:hAnsi="仿宋" w:eastAsia="仿宋" w:cs="仿宋"/>
          <w:color w:val="FF0000"/>
          <w:sz w:val="32"/>
          <w:szCs w:val="32"/>
        </w:rPr>
      </w:pPr>
      <w:r>
        <w:rPr>
          <w:rFonts w:hint="eastAsia" w:ascii="仿宋" w:hAnsi="仿宋" w:eastAsia="仿宋" w:cs="仿宋"/>
          <w:sz w:val="32"/>
          <w:szCs w:val="32"/>
        </w:rPr>
        <w:t>组织对</w:t>
      </w:r>
      <w:r>
        <w:rPr>
          <w:rFonts w:hint="eastAsia" w:ascii="仿宋" w:hAnsi="仿宋" w:eastAsia="仿宋" w:cs="仿宋"/>
          <w:sz w:val="32"/>
          <w:szCs w:val="32"/>
          <w:lang w:eastAsia="zh-CN"/>
        </w:rPr>
        <w:t>我单位</w:t>
      </w:r>
      <w:r>
        <w:rPr>
          <w:rFonts w:hint="eastAsia" w:ascii="仿宋" w:hAnsi="仿宋" w:eastAsia="仿宋" w:cs="仿宋"/>
          <w:sz w:val="32"/>
          <w:szCs w:val="32"/>
        </w:rPr>
        <w:t xml:space="preserve">开展整体支出绩效评价试点，涉及一般公共预算支出 </w:t>
      </w:r>
      <w:r>
        <w:rPr>
          <w:rFonts w:hint="eastAsia" w:ascii="仿宋" w:hAnsi="仿宋" w:eastAsia="仿宋" w:cs="仿宋"/>
          <w:sz w:val="32"/>
          <w:szCs w:val="32"/>
          <w:lang w:val="en-US" w:eastAsia="zh-CN"/>
        </w:rPr>
        <w:t>16.96</w:t>
      </w:r>
      <w:r>
        <w:rPr>
          <w:rFonts w:hint="eastAsia" w:ascii="仿宋" w:hAnsi="仿宋" w:eastAsia="仿宋" w:cs="仿宋"/>
          <w:sz w:val="32"/>
          <w:szCs w:val="32"/>
        </w:rPr>
        <w:t xml:space="preserve"> 万元，政府性基金预算支出</w:t>
      </w:r>
      <w:r>
        <w:rPr>
          <w:rFonts w:hint="eastAsia" w:ascii="仿宋" w:hAnsi="仿宋" w:eastAsia="仿宋" w:cs="仿宋"/>
          <w:sz w:val="32"/>
          <w:szCs w:val="32"/>
          <w:lang w:val="en-US" w:eastAsia="zh-CN"/>
        </w:rPr>
        <w:t>103.77</w:t>
      </w:r>
      <w:r>
        <w:rPr>
          <w:rFonts w:hint="eastAsia" w:ascii="仿宋" w:hAnsi="仿宋" w:eastAsia="仿宋" w:cs="仿宋"/>
          <w:sz w:val="32"/>
          <w:szCs w:val="32"/>
        </w:rPr>
        <w:t xml:space="preserve"> 万元。</w:t>
      </w:r>
      <w:r>
        <w:rPr>
          <w:rFonts w:hint="eastAsia" w:ascii="仿宋" w:hAnsi="仿宋" w:eastAsia="仿宋" w:cs="仿宋"/>
          <w:color w:val="auto"/>
          <w:sz w:val="32"/>
          <w:szCs w:val="32"/>
        </w:rPr>
        <w:t>从评价情况来看，</w:t>
      </w:r>
      <w:r>
        <w:rPr>
          <w:rFonts w:hint="eastAsia" w:ascii="仿宋" w:hAnsi="仿宋" w:eastAsia="仿宋" w:cs="仿宋"/>
          <w:color w:val="auto"/>
          <w:sz w:val="32"/>
          <w:szCs w:val="32"/>
          <w:lang w:val="en-US" w:eastAsia="zh-CN"/>
        </w:rPr>
        <w:t>最大限度地发挥</w:t>
      </w:r>
      <w:r>
        <w:rPr>
          <w:rFonts w:hint="eastAsia" w:ascii="仿宋" w:hAnsi="仿宋" w:eastAsia="仿宋" w:cs="仿宋"/>
          <w:sz w:val="32"/>
          <w:szCs w:val="32"/>
          <w:lang w:val="en-US" w:eastAsia="zh-CN"/>
        </w:rPr>
        <w:t>专项资金的使用效益，制定了对资金的使用范围与原则、申报与管理、监督与检查作出了具体规定。</w:t>
      </w:r>
      <w:r>
        <w:rPr>
          <w:rFonts w:hint="eastAsia" w:ascii="仿宋" w:hAnsi="仿宋" w:eastAsia="仿宋" w:cs="仿宋"/>
          <w:color w:val="auto"/>
          <w:sz w:val="32"/>
          <w:szCs w:val="32"/>
          <w:lang w:val="en-US" w:eastAsia="zh-CN"/>
        </w:rPr>
        <w:t>各专项</w:t>
      </w:r>
      <w:r>
        <w:rPr>
          <w:rFonts w:hint="eastAsia" w:ascii="仿宋" w:hAnsi="仿宋" w:eastAsia="仿宋" w:cs="仿宋"/>
          <w:sz w:val="32"/>
          <w:szCs w:val="32"/>
          <w:lang w:val="en-US" w:eastAsia="zh-CN"/>
        </w:rPr>
        <w:t>资金能及时足额到位，管理制度健全且得到了有效执行。</w:t>
      </w:r>
    </w:p>
    <w:p>
      <w:pPr>
        <w:keepNext w:val="0"/>
        <w:keepLines w:val="0"/>
        <w:pageBreakBefore w:val="0"/>
        <w:numPr>
          <w:ilvl w:val="0"/>
          <w:numId w:val="2"/>
        </w:numPr>
        <w:kinsoku/>
        <w:overflowPunct/>
        <w:topLinePunct w:val="0"/>
        <w:bidi w:val="0"/>
        <w:snapToGrid/>
        <w:spacing w:line="240" w:lineRule="auto"/>
        <w:ind w:firstLine="643" w:firstLineChars="200"/>
        <w:rPr>
          <w:rFonts w:hint="eastAsia"/>
          <w:sz w:val="32"/>
          <w:szCs w:val="32"/>
        </w:rPr>
      </w:pPr>
      <w:r>
        <w:rPr>
          <w:rFonts w:hint="eastAsia" w:ascii="仿宋" w:hAnsi="仿宋" w:eastAsia="仿宋" w:cs="仿宋"/>
          <w:b/>
          <w:bCs/>
          <w:sz w:val="32"/>
          <w:szCs w:val="32"/>
        </w:rPr>
        <w:t>部门决算中</w:t>
      </w:r>
      <w:r>
        <w:rPr>
          <w:rFonts w:hint="eastAsia" w:ascii="仿宋" w:hAnsi="仿宋" w:eastAsia="仿宋" w:cs="仿宋"/>
          <w:b/>
          <w:bCs/>
          <w:sz w:val="32"/>
          <w:szCs w:val="32"/>
          <w:lang w:eastAsia="zh-CN"/>
        </w:rPr>
        <w:t>重点</w:t>
      </w:r>
      <w:r>
        <w:rPr>
          <w:rFonts w:hint="eastAsia" w:ascii="仿宋" w:hAnsi="仿宋" w:eastAsia="仿宋" w:cs="仿宋"/>
          <w:b/>
          <w:bCs/>
          <w:sz w:val="32"/>
          <w:szCs w:val="32"/>
        </w:rPr>
        <w:t>项目绩效自评结果。</w:t>
      </w:r>
    </w:p>
    <w:p>
      <w:pPr>
        <w:keepNext w:val="0"/>
        <w:keepLines w:val="0"/>
        <w:pageBreakBefore w:val="0"/>
        <w:numPr>
          <w:ilvl w:val="0"/>
          <w:numId w:val="0"/>
        </w:numPr>
        <w:kinsoku/>
        <w:overflowPunct/>
        <w:topLinePunct w:val="0"/>
        <w:bidi w:val="0"/>
        <w:snapToGrid/>
        <w:spacing w:line="240" w:lineRule="auto"/>
        <w:ind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我单位本年度</w:t>
      </w:r>
      <w:r>
        <w:rPr>
          <w:rFonts w:hint="eastAsia" w:ascii="仿宋" w:hAnsi="仿宋" w:eastAsia="仿宋" w:cs="仿宋"/>
          <w:i w:val="0"/>
          <w:iCs w:val="0"/>
          <w:caps w:val="0"/>
          <w:color w:val="000000"/>
          <w:spacing w:val="0"/>
          <w:sz w:val="32"/>
          <w:szCs w:val="32"/>
          <w:shd w:val="clear" w:color="auto" w:fill="FFFFFF"/>
        </w:rPr>
        <w:t>无重点项目</w:t>
      </w:r>
      <w:r>
        <w:rPr>
          <w:rFonts w:hint="eastAsia" w:ascii="仿宋" w:hAnsi="仿宋" w:eastAsia="仿宋" w:cs="仿宋"/>
          <w:i w:val="0"/>
          <w:iCs w:val="0"/>
          <w:caps w:val="0"/>
          <w:color w:val="000000"/>
          <w:spacing w:val="0"/>
          <w:sz w:val="32"/>
          <w:szCs w:val="32"/>
          <w:shd w:val="clear" w:color="auto" w:fill="FFFFFF"/>
          <w:lang w:eastAsia="zh-CN"/>
        </w:rPr>
        <w:t>。</w:t>
      </w:r>
    </w:p>
    <w:p>
      <w:pPr>
        <w:numPr>
          <w:ilvl w:val="0"/>
          <w:numId w:val="0"/>
        </w:num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部门评价项目绩效评价结果。</w:t>
      </w:r>
    </w:p>
    <w:p>
      <w:pPr>
        <w:numPr>
          <w:ilvl w:val="0"/>
          <w:numId w:val="0"/>
        </w:numPr>
        <w:spacing w:line="580" w:lineRule="exact"/>
        <w:ind w:firstLine="640" w:firstLineChars="200"/>
        <w:rPr>
          <w:rFonts w:hint="eastAsia"/>
          <w:lang w:eastAsia="zh-CN"/>
        </w:rPr>
      </w:pPr>
      <w:r>
        <w:rPr>
          <w:rFonts w:hint="eastAsia" w:ascii="仿宋" w:hAnsi="仿宋" w:eastAsia="仿宋" w:cs="仿宋"/>
          <w:sz w:val="32"/>
          <w:szCs w:val="32"/>
          <w:lang w:eastAsia="zh-CN"/>
        </w:rPr>
        <w:t>详见附表：《</w:t>
      </w:r>
      <w:r>
        <w:rPr>
          <w:rFonts w:hint="eastAsia" w:ascii="仿宋" w:hAnsi="仿宋" w:eastAsia="仿宋" w:cs="仿宋"/>
          <w:i w:val="0"/>
          <w:iCs w:val="0"/>
          <w:caps w:val="0"/>
          <w:color w:val="000000"/>
          <w:spacing w:val="0"/>
          <w:sz w:val="32"/>
          <w:szCs w:val="32"/>
          <w:shd w:val="clear" w:color="auto" w:fill="FFFFFF"/>
          <w:lang w:val="en-US" w:eastAsia="zh-CN"/>
        </w:rPr>
        <w:t>A级景区A级厕所建设</w:t>
      </w:r>
      <w:r>
        <w:rPr>
          <w:rFonts w:hint="eastAsia" w:ascii="仿宋" w:hAnsi="仿宋" w:eastAsia="仿宋" w:cs="仿宋"/>
          <w:sz w:val="32"/>
          <w:szCs w:val="32"/>
        </w:rPr>
        <w:t>项目绩效</w:t>
      </w:r>
      <w:r>
        <w:rPr>
          <w:rFonts w:hint="eastAsia" w:ascii="仿宋" w:hAnsi="仿宋" w:eastAsia="仿宋" w:cs="仿宋"/>
          <w:sz w:val="32"/>
          <w:szCs w:val="32"/>
          <w:lang w:eastAsia="zh-CN"/>
        </w:rPr>
        <w:t>评价报告》</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b w:val="0"/>
          <w:bCs/>
          <w:i w:val="0"/>
          <w:iCs w:val="0"/>
          <w:caps w:val="0"/>
          <w:color w:val="000000"/>
          <w:spacing w:val="0"/>
          <w:sz w:val="32"/>
          <w:szCs w:val="32"/>
          <w:shd w:val="clear" w:color="auto" w:fill="FFFFFF"/>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国有资产占用情况说明</w:t>
      </w:r>
    </w:p>
    <w:p>
      <w:pPr>
        <w:keepNext w:val="0"/>
        <w:keepLines w:val="0"/>
        <w:pageBreakBefore w:val="0"/>
        <w:numPr>
          <w:ilvl w:val="0"/>
          <w:numId w:val="3"/>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房屋信息</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本单位占有房屋面积</w:t>
      </w:r>
      <w:r>
        <w:rPr>
          <w:rFonts w:hint="eastAsia" w:ascii="仿宋" w:hAnsi="仿宋" w:eastAsia="仿宋" w:cs="仿宋"/>
          <w:i w:val="0"/>
          <w:iCs w:val="0"/>
          <w:caps w:val="0"/>
          <w:color w:val="auto"/>
          <w:spacing w:val="0"/>
          <w:sz w:val="32"/>
          <w:szCs w:val="32"/>
          <w:shd w:val="clear" w:color="auto" w:fill="FFFFFF"/>
          <w:lang w:val="en-US" w:eastAsia="zh-CN"/>
        </w:rPr>
        <w:t>1380.47</w:t>
      </w:r>
      <w:r>
        <w:rPr>
          <w:rFonts w:hint="eastAsia" w:ascii="仿宋" w:hAnsi="仿宋" w:eastAsia="仿宋" w:cs="仿宋"/>
          <w:i w:val="0"/>
          <w:iCs w:val="0"/>
          <w:caps w:val="0"/>
          <w:color w:val="auto"/>
          <w:spacing w:val="0"/>
          <w:sz w:val="32"/>
          <w:szCs w:val="32"/>
          <w:shd w:val="clear" w:color="auto" w:fill="FFFFFF"/>
        </w:rPr>
        <w:t>平米,原值为</w:t>
      </w:r>
      <w:r>
        <w:rPr>
          <w:rFonts w:hint="eastAsia" w:ascii="仿宋" w:hAnsi="仿宋" w:eastAsia="仿宋" w:cs="仿宋"/>
          <w:i w:val="0"/>
          <w:iCs w:val="0"/>
          <w:caps w:val="0"/>
          <w:color w:val="auto"/>
          <w:spacing w:val="0"/>
          <w:sz w:val="32"/>
          <w:szCs w:val="32"/>
          <w:shd w:val="clear" w:color="auto" w:fill="FFFFFF"/>
          <w:lang w:val="en-US" w:eastAsia="zh-CN"/>
        </w:rPr>
        <w:t>135.03</w:t>
      </w:r>
      <w:r>
        <w:rPr>
          <w:rFonts w:hint="eastAsia" w:ascii="仿宋" w:hAnsi="仿宋" w:eastAsia="仿宋" w:cs="仿宋"/>
          <w:i w:val="0"/>
          <w:iCs w:val="0"/>
          <w:caps w:val="0"/>
          <w:color w:val="auto"/>
          <w:spacing w:val="0"/>
          <w:sz w:val="32"/>
          <w:szCs w:val="32"/>
          <w:shd w:val="clear" w:color="auto" w:fill="FFFFFF"/>
        </w:rPr>
        <w:t>万元。</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车辆情况</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现有公车</w:t>
      </w:r>
      <w:r>
        <w:rPr>
          <w:rFonts w:hint="eastAsia" w:ascii="仿宋" w:hAnsi="仿宋" w:eastAsia="仿宋" w:cs="仿宋"/>
          <w:i w:val="0"/>
          <w:iCs w:val="0"/>
          <w:caps w:val="0"/>
          <w:color w:val="auto"/>
          <w:spacing w:val="0"/>
          <w:sz w:val="32"/>
          <w:szCs w:val="32"/>
          <w:shd w:val="clear" w:color="auto" w:fill="FFFFFF"/>
          <w:lang w:val="en-US" w:eastAsia="zh-CN"/>
        </w:rPr>
        <w:t>4</w:t>
      </w:r>
      <w:r>
        <w:rPr>
          <w:rFonts w:hint="eastAsia" w:ascii="仿宋" w:hAnsi="仿宋" w:eastAsia="仿宋" w:cs="仿宋"/>
          <w:i w:val="0"/>
          <w:iCs w:val="0"/>
          <w:caps w:val="0"/>
          <w:color w:val="auto"/>
          <w:spacing w:val="0"/>
          <w:sz w:val="32"/>
          <w:szCs w:val="32"/>
          <w:shd w:val="clear" w:color="auto" w:fill="FFFFFF"/>
        </w:rPr>
        <w:t>辆，原值金额为</w:t>
      </w:r>
      <w:r>
        <w:rPr>
          <w:rFonts w:hint="eastAsia" w:ascii="仿宋" w:hAnsi="仿宋" w:eastAsia="仿宋" w:cs="仿宋"/>
          <w:i w:val="0"/>
          <w:iCs w:val="0"/>
          <w:caps w:val="0"/>
          <w:color w:val="auto"/>
          <w:spacing w:val="0"/>
          <w:sz w:val="32"/>
          <w:szCs w:val="32"/>
          <w:shd w:val="clear" w:color="auto" w:fill="FFFFFF"/>
          <w:lang w:val="en-US" w:eastAsia="zh-CN"/>
        </w:rPr>
        <w:t>30.5</w:t>
      </w:r>
      <w:r>
        <w:rPr>
          <w:rFonts w:hint="eastAsia" w:ascii="仿宋" w:hAnsi="仿宋" w:eastAsia="仿宋" w:cs="仿宋"/>
          <w:i w:val="0"/>
          <w:iCs w:val="0"/>
          <w:caps w:val="0"/>
          <w:color w:val="auto"/>
          <w:spacing w:val="0"/>
          <w:sz w:val="32"/>
          <w:szCs w:val="32"/>
          <w:shd w:val="clear" w:color="auto" w:fill="FFFFFF"/>
        </w:rPr>
        <w:t>万元 （原文化执法用车、流动图书车，</w:t>
      </w:r>
      <w:r>
        <w:rPr>
          <w:rFonts w:hint="eastAsia" w:ascii="仿宋" w:hAnsi="仿宋" w:eastAsia="仿宋" w:cs="仿宋"/>
          <w:i w:val="0"/>
          <w:iCs w:val="0"/>
          <w:caps w:val="0"/>
          <w:color w:val="auto"/>
          <w:spacing w:val="0"/>
          <w:sz w:val="32"/>
          <w:szCs w:val="32"/>
          <w:shd w:val="clear" w:color="auto" w:fill="FFFFFF"/>
          <w:lang w:eastAsia="zh-CN"/>
        </w:rPr>
        <w:t>原文物旅游开发中心公务用车</w:t>
      </w:r>
      <w:r>
        <w:rPr>
          <w:rFonts w:hint="eastAsia" w:ascii="仿宋" w:hAnsi="仿宋" w:eastAsia="仿宋" w:cs="仿宋"/>
          <w:i w:val="0"/>
          <w:iCs w:val="0"/>
          <w:caps w:val="0"/>
          <w:color w:val="auto"/>
          <w:spacing w:val="0"/>
          <w:sz w:val="32"/>
          <w:szCs w:val="32"/>
          <w:shd w:val="clear" w:color="auto" w:fill="FFFFFF"/>
        </w:rPr>
        <w:t>已停用</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val="en-US" w:eastAsia="zh-CN"/>
        </w:rPr>
        <w:t>文化馆流动服务车在用</w:t>
      </w:r>
      <w:r>
        <w:rPr>
          <w:rFonts w:hint="eastAsia" w:ascii="仿宋" w:hAnsi="仿宋" w:eastAsia="仿宋" w:cs="仿宋"/>
          <w:i w:val="0"/>
          <w:iCs w:val="0"/>
          <w:caps w:val="0"/>
          <w:color w:val="auto"/>
          <w:spacing w:val="0"/>
          <w:sz w:val="32"/>
          <w:szCs w:val="32"/>
          <w:shd w:val="clear" w:color="auto" w:fill="FFFFFF"/>
        </w:rPr>
        <w:t>）。</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val="0"/>
          <w:bCs w:val="0"/>
          <w:i w:val="0"/>
          <w:iCs w:val="0"/>
          <w:caps w:val="0"/>
          <w:color w:val="auto"/>
          <w:spacing w:val="0"/>
          <w:sz w:val="32"/>
          <w:szCs w:val="32"/>
          <w:shd w:val="clear" w:color="auto" w:fill="FFFFFF"/>
        </w:rPr>
        <w:t>通用设备</w:t>
      </w:r>
      <w:r>
        <w:rPr>
          <w:rFonts w:hint="eastAsia" w:ascii="仿宋" w:hAnsi="仿宋" w:eastAsia="仿宋" w:cs="仿宋"/>
          <w:i w:val="0"/>
          <w:iCs w:val="0"/>
          <w:caps w:val="0"/>
          <w:color w:val="auto"/>
          <w:spacing w:val="0"/>
          <w:sz w:val="32"/>
          <w:szCs w:val="32"/>
          <w:shd w:val="clear" w:color="auto" w:fill="FFFFFF"/>
        </w:rPr>
        <w:t> </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val="0"/>
          <w:bCs w:val="0"/>
          <w:i w:val="0"/>
          <w:iCs w:val="0"/>
          <w:caps w:val="0"/>
          <w:color w:val="auto"/>
          <w:spacing w:val="0"/>
          <w:sz w:val="32"/>
          <w:szCs w:val="32"/>
          <w:shd w:val="clear" w:color="auto" w:fill="FFFFFF"/>
        </w:rPr>
        <w:t>本单位共有通用设备</w:t>
      </w:r>
      <w:r>
        <w:rPr>
          <w:rFonts w:hint="eastAsia" w:ascii="仿宋" w:hAnsi="仿宋" w:eastAsia="仿宋" w:cs="仿宋"/>
          <w:b w:val="0"/>
          <w:bCs w:val="0"/>
          <w:i w:val="0"/>
          <w:iCs w:val="0"/>
          <w:caps w:val="0"/>
          <w:color w:val="auto"/>
          <w:spacing w:val="0"/>
          <w:sz w:val="32"/>
          <w:szCs w:val="32"/>
          <w:shd w:val="clear" w:color="auto" w:fill="FFFFFF"/>
          <w:lang w:val="en-US" w:eastAsia="zh-CN"/>
        </w:rPr>
        <w:t>692</w:t>
      </w:r>
      <w:r>
        <w:rPr>
          <w:rFonts w:hint="eastAsia" w:ascii="仿宋" w:hAnsi="仿宋" w:eastAsia="仿宋" w:cs="仿宋"/>
          <w:b w:val="0"/>
          <w:bCs w:val="0"/>
          <w:i w:val="0"/>
          <w:iCs w:val="0"/>
          <w:caps w:val="0"/>
          <w:color w:val="auto"/>
          <w:spacing w:val="0"/>
          <w:sz w:val="32"/>
          <w:szCs w:val="32"/>
          <w:shd w:val="clear" w:color="auto" w:fill="FFFFFF"/>
        </w:rPr>
        <w:t>件（不包括车辆），</w:t>
      </w:r>
      <w:r>
        <w:rPr>
          <w:rFonts w:hint="eastAsia" w:ascii="仿宋" w:hAnsi="仿宋" w:eastAsia="仿宋" w:cs="仿宋"/>
          <w:b w:val="0"/>
          <w:bCs w:val="0"/>
          <w:i w:val="0"/>
          <w:iCs w:val="0"/>
          <w:caps w:val="0"/>
          <w:color w:val="auto"/>
          <w:spacing w:val="0"/>
          <w:sz w:val="32"/>
          <w:szCs w:val="32"/>
          <w:shd w:val="clear" w:color="auto" w:fill="FFFFFF"/>
          <w:lang w:eastAsia="zh-CN"/>
        </w:rPr>
        <w:t>原值</w:t>
      </w:r>
      <w:r>
        <w:rPr>
          <w:rFonts w:hint="eastAsia" w:ascii="仿宋" w:hAnsi="仿宋" w:eastAsia="仿宋" w:cs="仿宋"/>
          <w:b w:val="0"/>
          <w:bCs w:val="0"/>
          <w:i w:val="0"/>
          <w:iCs w:val="0"/>
          <w:caps w:val="0"/>
          <w:color w:val="auto"/>
          <w:spacing w:val="0"/>
          <w:sz w:val="32"/>
          <w:szCs w:val="32"/>
          <w:shd w:val="clear" w:color="auto" w:fill="FFFFFF"/>
        </w:rPr>
        <w:t>为</w:t>
      </w:r>
      <w:r>
        <w:rPr>
          <w:rFonts w:hint="eastAsia" w:ascii="仿宋" w:hAnsi="仿宋" w:eastAsia="仿宋" w:cs="仿宋"/>
          <w:b w:val="0"/>
          <w:bCs w:val="0"/>
          <w:i w:val="0"/>
          <w:iCs w:val="0"/>
          <w:caps w:val="0"/>
          <w:color w:val="auto"/>
          <w:spacing w:val="0"/>
          <w:sz w:val="32"/>
          <w:szCs w:val="32"/>
          <w:shd w:val="clear" w:color="auto" w:fill="FFFFFF"/>
          <w:lang w:val="en-US" w:eastAsia="zh-CN"/>
        </w:rPr>
        <w:t>253.85</w:t>
      </w:r>
      <w:r>
        <w:rPr>
          <w:rFonts w:hint="eastAsia" w:ascii="仿宋" w:hAnsi="仿宋" w:eastAsia="仿宋" w:cs="仿宋"/>
          <w:b w:val="0"/>
          <w:bCs w:val="0"/>
          <w:i w:val="0"/>
          <w:iCs w:val="0"/>
          <w:caps w:val="0"/>
          <w:color w:val="auto"/>
          <w:spacing w:val="0"/>
          <w:sz w:val="32"/>
          <w:szCs w:val="32"/>
          <w:shd w:val="clear" w:color="auto" w:fill="FFFFFF"/>
        </w:rPr>
        <w:t>万元，</w:t>
      </w:r>
      <w:r>
        <w:rPr>
          <w:rFonts w:hint="eastAsia" w:ascii="仿宋" w:hAnsi="仿宋" w:eastAsia="仿宋" w:cs="仿宋"/>
          <w:b w:val="0"/>
          <w:bCs w:val="0"/>
          <w:i w:val="0"/>
          <w:iCs w:val="0"/>
          <w:caps w:val="0"/>
          <w:color w:val="auto"/>
          <w:spacing w:val="0"/>
          <w:sz w:val="32"/>
          <w:szCs w:val="32"/>
          <w:shd w:val="clear" w:color="auto" w:fill="FFFFFF"/>
          <w:lang w:eastAsia="zh-CN"/>
        </w:rPr>
        <w:t>无</w:t>
      </w:r>
      <w:r>
        <w:rPr>
          <w:rFonts w:hint="eastAsia" w:ascii="仿宋" w:hAnsi="仿宋" w:eastAsia="仿宋" w:cs="仿宋"/>
          <w:b w:val="0"/>
          <w:bCs w:val="0"/>
          <w:i w:val="0"/>
          <w:iCs w:val="0"/>
          <w:caps w:val="0"/>
          <w:color w:val="auto"/>
          <w:spacing w:val="0"/>
          <w:sz w:val="32"/>
          <w:szCs w:val="32"/>
          <w:shd w:val="clear" w:color="auto" w:fill="FFFFFF"/>
        </w:rPr>
        <w:t>单位价值在50万元以上的通用设备。</w:t>
      </w:r>
      <w:r>
        <w:rPr>
          <w:rFonts w:hint="eastAsia" w:ascii="仿宋" w:hAnsi="仿宋" w:eastAsia="仿宋" w:cs="仿宋"/>
          <w:i w:val="0"/>
          <w:iCs w:val="0"/>
          <w:caps w:val="0"/>
          <w:color w:val="auto"/>
          <w:spacing w:val="0"/>
          <w:sz w:val="32"/>
          <w:szCs w:val="32"/>
          <w:shd w:val="clear" w:color="auto" w:fill="FFFFFF"/>
        </w:rPr>
        <w:t> </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val="0"/>
          <w:bCs w:val="0"/>
          <w:i w:val="0"/>
          <w:iCs w:val="0"/>
          <w:caps w:val="0"/>
          <w:color w:val="auto"/>
          <w:spacing w:val="0"/>
          <w:sz w:val="32"/>
          <w:szCs w:val="32"/>
          <w:shd w:val="clear" w:color="auto" w:fill="FFFFFF"/>
        </w:rPr>
        <w:t>专用设备</w:t>
      </w:r>
      <w:r>
        <w:rPr>
          <w:rFonts w:hint="eastAsia" w:ascii="仿宋" w:hAnsi="仿宋" w:eastAsia="仿宋" w:cs="仿宋"/>
          <w:i w:val="0"/>
          <w:iCs w:val="0"/>
          <w:caps w:val="0"/>
          <w:color w:val="auto"/>
          <w:spacing w:val="0"/>
          <w:sz w:val="32"/>
          <w:szCs w:val="32"/>
          <w:shd w:val="clear" w:color="auto" w:fill="FFFFFF"/>
        </w:rPr>
        <w:t> </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val="0"/>
          <w:bCs w:val="0"/>
          <w:i w:val="0"/>
          <w:iCs w:val="0"/>
          <w:caps w:val="0"/>
          <w:color w:val="auto"/>
          <w:spacing w:val="0"/>
          <w:sz w:val="32"/>
          <w:szCs w:val="32"/>
          <w:shd w:val="clear" w:color="auto" w:fill="FFFFFF"/>
        </w:rPr>
        <w:t>本单位共有专用设备</w:t>
      </w:r>
      <w:r>
        <w:rPr>
          <w:rFonts w:hint="eastAsia" w:ascii="仿宋" w:hAnsi="仿宋" w:eastAsia="仿宋" w:cs="仿宋"/>
          <w:b w:val="0"/>
          <w:bCs w:val="0"/>
          <w:i w:val="0"/>
          <w:iCs w:val="0"/>
          <w:caps w:val="0"/>
          <w:color w:val="auto"/>
          <w:spacing w:val="0"/>
          <w:sz w:val="32"/>
          <w:szCs w:val="32"/>
          <w:shd w:val="clear" w:color="auto" w:fill="FFFFFF"/>
          <w:lang w:val="en-US" w:eastAsia="zh-CN"/>
        </w:rPr>
        <w:t>5879</w:t>
      </w:r>
      <w:r>
        <w:rPr>
          <w:rFonts w:hint="eastAsia" w:ascii="仿宋" w:hAnsi="仿宋" w:eastAsia="仿宋" w:cs="仿宋"/>
          <w:b w:val="0"/>
          <w:bCs w:val="0"/>
          <w:i w:val="0"/>
          <w:iCs w:val="0"/>
          <w:caps w:val="0"/>
          <w:color w:val="auto"/>
          <w:spacing w:val="0"/>
          <w:sz w:val="32"/>
          <w:szCs w:val="32"/>
          <w:shd w:val="clear" w:color="auto" w:fill="FFFFFF"/>
        </w:rPr>
        <w:t>件，</w:t>
      </w:r>
      <w:r>
        <w:rPr>
          <w:rFonts w:hint="eastAsia" w:ascii="仿宋" w:hAnsi="仿宋" w:eastAsia="仿宋" w:cs="仿宋"/>
          <w:b w:val="0"/>
          <w:bCs w:val="0"/>
          <w:i w:val="0"/>
          <w:iCs w:val="0"/>
          <w:caps w:val="0"/>
          <w:color w:val="auto"/>
          <w:spacing w:val="0"/>
          <w:sz w:val="32"/>
          <w:szCs w:val="32"/>
          <w:shd w:val="clear" w:color="auto" w:fill="FFFFFF"/>
          <w:lang w:eastAsia="zh-CN"/>
        </w:rPr>
        <w:t>原值</w:t>
      </w:r>
      <w:r>
        <w:rPr>
          <w:rFonts w:hint="eastAsia" w:ascii="仿宋" w:hAnsi="仿宋" w:eastAsia="仿宋" w:cs="仿宋"/>
          <w:b w:val="0"/>
          <w:bCs w:val="0"/>
          <w:i w:val="0"/>
          <w:iCs w:val="0"/>
          <w:caps w:val="0"/>
          <w:color w:val="auto"/>
          <w:spacing w:val="0"/>
          <w:sz w:val="32"/>
          <w:szCs w:val="32"/>
          <w:shd w:val="clear" w:color="auto" w:fill="FFFFFF"/>
        </w:rPr>
        <w:t>为</w:t>
      </w:r>
      <w:r>
        <w:rPr>
          <w:rFonts w:hint="eastAsia" w:ascii="仿宋" w:hAnsi="仿宋" w:eastAsia="仿宋" w:cs="仿宋"/>
          <w:b w:val="0"/>
          <w:bCs w:val="0"/>
          <w:i w:val="0"/>
          <w:iCs w:val="0"/>
          <w:caps w:val="0"/>
          <w:color w:val="auto"/>
          <w:spacing w:val="0"/>
          <w:sz w:val="32"/>
          <w:szCs w:val="32"/>
          <w:shd w:val="clear" w:color="auto" w:fill="FFFFFF"/>
          <w:lang w:val="en-US" w:eastAsia="zh-CN"/>
        </w:rPr>
        <w:t>163.30</w:t>
      </w:r>
      <w:r>
        <w:rPr>
          <w:rFonts w:hint="eastAsia" w:ascii="仿宋" w:hAnsi="仿宋" w:eastAsia="仿宋" w:cs="仿宋"/>
          <w:b w:val="0"/>
          <w:bCs w:val="0"/>
          <w:i w:val="0"/>
          <w:iCs w:val="0"/>
          <w:caps w:val="0"/>
          <w:color w:val="auto"/>
          <w:spacing w:val="0"/>
          <w:sz w:val="32"/>
          <w:szCs w:val="32"/>
          <w:shd w:val="clear" w:color="auto" w:fill="FFFFFF"/>
        </w:rPr>
        <w:t>万元，无单位价值在100万元以上的专用设备。</w:t>
      </w:r>
      <w:r>
        <w:rPr>
          <w:rFonts w:hint="eastAsia" w:ascii="仿宋" w:hAnsi="仿宋" w:eastAsia="仿宋" w:cs="仿宋"/>
          <w:i w:val="0"/>
          <w:iCs w:val="0"/>
          <w:caps w:val="0"/>
          <w:color w:val="auto"/>
          <w:spacing w:val="0"/>
          <w:sz w:val="32"/>
          <w:szCs w:val="32"/>
          <w:shd w:val="clear" w:color="auto" w:fill="FFFFFF"/>
        </w:rPr>
        <w:t> </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家具、用具、装具及动植物类793件，原值79.2万元。</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图书、档案等3件，原值35.91万元。</w:t>
      </w:r>
    </w:p>
    <w:p>
      <w:pPr>
        <w:keepNext w:val="0"/>
        <w:keepLines w:val="0"/>
        <w:pageBreakBefore w:val="0"/>
        <w:numPr>
          <w:ilvl w:val="0"/>
          <w:numId w:val="3"/>
        </w:numPr>
        <w:kinsoku/>
        <w:overflowPunct/>
        <w:topLinePunct w:val="0"/>
        <w:autoSpaceDE/>
        <w:autoSpaceDN/>
        <w:bidi w:val="0"/>
        <w:adjustRightInd/>
        <w:snapToGrid/>
        <w:spacing w:line="240" w:lineRule="auto"/>
        <w:ind w:left="0" w:leftChars="0" w:firstLine="640" w:firstLineChars="200"/>
        <w:textAlignment w:val="auto"/>
        <w:outlineLvl w:val="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无形资产5.16万元。</w:t>
      </w:r>
    </w:p>
    <w:p>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outlineLvl w:val="0"/>
        <w:rPr>
          <w:rFonts w:hint="eastAsia" w:ascii="仿宋" w:hAnsi="仿宋" w:eastAsia="仿宋" w:cs="仿宋"/>
          <w:i w:val="0"/>
          <w:iCs w:val="0"/>
          <w:caps w:val="0"/>
          <w:color w:val="FF0000"/>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年末固定资产和无形资产原值总计657.63万元。</w:t>
      </w:r>
    </w:p>
    <w:p>
      <w:pPr>
        <w:keepNext w:val="0"/>
        <w:keepLines w:val="0"/>
        <w:pageBreakBefore w:val="0"/>
        <w:kinsoku/>
        <w:overflowPunct/>
        <w:topLinePunct w:val="0"/>
        <w:bidi w:val="0"/>
        <w:snapToGrid/>
        <w:spacing w:line="240" w:lineRule="auto"/>
        <w:ind w:firstLine="640" w:firstLineChars="200"/>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其他需要说明的事项</w:t>
      </w:r>
    </w:p>
    <w:p>
      <w:pPr>
        <w:keepNext w:val="0"/>
        <w:keepLines w:val="0"/>
        <w:pageBreakBefore w:val="0"/>
        <w:kinsoku/>
        <w:overflowPunct/>
        <w:topLinePunct w:val="0"/>
        <w:bidi w:val="0"/>
        <w:snapToGrid/>
        <w:spacing w:line="240"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本部门无其他需要说明的事项。</w:t>
      </w:r>
    </w:p>
    <w:p>
      <w:pPr>
        <w:keepNext w:val="0"/>
        <w:keepLines w:val="0"/>
        <w:pageBreakBefore w:val="0"/>
        <w:widowControl/>
        <w:shd w:val="clear" w:color="auto" w:fill="FFFFFF"/>
        <w:kinsoku/>
        <w:wordWrap w:val="0"/>
        <w:overflowPunct/>
        <w:topLinePunct w:val="0"/>
        <w:bidi w:val="0"/>
        <w:snapToGrid/>
        <w:spacing w:before="210" w:after="210" w:line="240" w:lineRule="auto"/>
        <w:ind w:firstLine="2560" w:firstLineChars="800"/>
        <w:rPr>
          <w:rFonts w:ascii="黑体" w:hAnsi="黑体" w:eastAsia="黑体" w:cs="黑体"/>
          <w:b w:val="0"/>
          <w:bCs/>
          <w:color w:val="000000"/>
          <w:kern w:val="0"/>
          <w:sz w:val="32"/>
          <w:szCs w:val="32"/>
          <w:shd w:val="clear" w:color="auto" w:fill="FFFFFF"/>
          <w:lang w:bidi="ar"/>
        </w:rPr>
      </w:pPr>
      <w:r>
        <w:rPr>
          <w:rFonts w:hint="eastAsia" w:ascii="黑体" w:hAnsi="黑体" w:eastAsia="黑体" w:cs="黑体"/>
          <w:b w:val="0"/>
          <w:bCs/>
          <w:color w:val="000000"/>
          <w:kern w:val="0"/>
          <w:sz w:val="32"/>
          <w:szCs w:val="32"/>
          <w:shd w:val="clear" w:color="auto" w:fill="FFFFFF"/>
          <w:lang w:bidi="ar"/>
        </w:rPr>
        <w:t>第四部分  名词解释</w:t>
      </w:r>
    </w:p>
    <w:p>
      <w:pPr>
        <w:keepNext w:val="0"/>
        <w:keepLines w:val="0"/>
        <w:pageBreakBefore w:val="0"/>
        <w:kinsoku/>
        <w:overflowPunct/>
        <w:topLinePunct w:val="0"/>
        <w:bidi w:val="0"/>
        <w:snapToGrid/>
        <w:spacing w:line="240"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部门应当按照部门预算管理要求，对本部门涉及的专业名词进行解释。</w:t>
      </w:r>
    </w:p>
    <w:p>
      <w:pPr>
        <w:keepNext w:val="0"/>
        <w:keepLines w:val="0"/>
        <w:pageBreakBefore w:val="0"/>
        <w:kinsoku/>
        <w:overflowPunct/>
        <w:topLinePunct w:val="0"/>
        <w:bidi w:val="0"/>
        <w:snapToGrid/>
        <w:spacing w:line="240" w:lineRule="auto"/>
        <w:ind w:firstLine="640" w:firstLineChars="200"/>
        <w:rPr>
          <w:rFonts w:ascii="仿宋" w:hAnsi="仿宋" w:eastAsia="仿宋" w:cs="仿宋"/>
          <w:b w:val="0"/>
          <w:bCs/>
          <w:sz w:val="32"/>
          <w:szCs w:val="32"/>
        </w:rPr>
      </w:pPr>
      <w:r>
        <w:rPr>
          <w:rFonts w:hint="eastAsia" w:ascii="仿宋" w:hAnsi="仿宋" w:eastAsia="仿宋" w:cs="仿宋"/>
          <w:b w:val="0"/>
          <w:bCs/>
          <w:sz w:val="32"/>
          <w:szCs w:val="32"/>
        </w:rPr>
        <w:t>一、财政拨款收入：指单位从同级财政部门取得的财政预算资金。</w:t>
      </w:r>
    </w:p>
    <w:p>
      <w:pPr>
        <w:keepNext w:val="0"/>
        <w:keepLines w:val="0"/>
        <w:pageBreakBefore w:val="0"/>
        <w:kinsoku/>
        <w:overflowPunct/>
        <w:topLinePunct w:val="0"/>
        <w:bidi w:val="0"/>
        <w:snapToGrid/>
        <w:spacing w:line="24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二、年初结转和结余：指单位以前年度尚未完成、结转到本年仍按原规定用途继续使用的资金，或项目已完成等产生的结余资金。</w:t>
      </w:r>
    </w:p>
    <w:p>
      <w:pPr>
        <w:keepNext w:val="0"/>
        <w:keepLines w:val="0"/>
        <w:pageBreakBefore w:val="0"/>
        <w:kinsoku/>
        <w:overflowPunct/>
        <w:topLinePunct w:val="0"/>
        <w:bidi w:val="0"/>
        <w:snapToGrid/>
        <w:spacing w:line="240" w:lineRule="auto"/>
        <w:ind w:firstLine="640" w:firstLineChars="200"/>
        <w:rPr>
          <w:rFonts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年末结转和结余：指单位按有关规定结转到下年或以后年度继续使用的资金，或项目已完成等产生的结余资金。</w:t>
      </w:r>
    </w:p>
    <w:p>
      <w:pPr>
        <w:keepNext w:val="0"/>
        <w:keepLines w:val="0"/>
        <w:pageBreakBefore w:val="0"/>
        <w:kinsoku/>
        <w:overflowPunct/>
        <w:topLinePunct w:val="0"/>
        <w:bidi w:val="0"/>
        <w:snapToGrid/>
        <w:spacing w:line="240" w:lineRule="auto"/>
        <w:ind w:firstLine="640" w:firstLineChars="200"/>
        <w:rPr>
          <w:rFonts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基本支出：指为保障机构正常运转、完成日常工作任务而发生的人员支出和公用支出。</w:t>
      </w:r>
    </w:p>
    <w:p>
      <w:pPr>
        <w:keepNext w:val="0"/>
        <w:keepLines w:val="0"/>
        <w:pageBreakBefore w:val="0"/>
        <w:kinsoku/>
        <w:overflowPunct/>
        <w:topLinePunct w:val="0"/>
        <w:autoSpaceDE w:val="0"/>
        <w:autoSpaceDN w:val="0"/>
        <w:bidi w:val="0"/>
        <w:adjustRightInd w:val="0"/>
        <w:snapToGrid/>
        <w:spacing w:line="240" w:lineRule="auto"/>
        <w:ind w:firstLine="627" w:firstLineChars="196"/>
        <w:rPr>
          <w:rFonts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项目支出：指在基本支出之外为完成特定行政任务和事业发展目标所发生的支出。</w:t>
      </w:r>
    </w:p>
    <w:p>
      <w:pPr>
        <w:keepNext w:val="0"/>
        <w:keepLines w:val="0"/>
        <w:pageBreakBefore w:val="0"/>
        <w:kinsoku/>
        <w:overflowPunct/>
        <w:topLinePunct w:val="0"/>
        <w:autoSpaceDE w:val="0"/>
        <w:autoSpaceDN w:val="0"/>
        <w:bidi w:val="0"/>
        <w:adjustRightInd w:val="0"/>
        <w:snapToGrid/>
        <w:spacing w:line="240" w:lineRule="auto"/>
        <w:ind w:firstLine="627" w:firstLineChars="196"/>
        <w:rPr>
          <w:rFonts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overflowPunct/>
        <w:topLinePunct w:val="0"/>
        <w:autoSpaceDE w:val="0"/>
        <w:autoSpaceDN w:val="0"/>
        <w:bidi w:val="0"/>
        <w:adjustRightInd w:val="0"/>
        <w:snapToGrid/>
        <w:spacing w:line="240" w:lineRule="auto"/>
        <w:ind w:firstLine="640"/>
        <w:rPr>
          <w:rFonts w:ascii="仿宋" w:hAnsi="仿宋" w:eastAsia="仿宋" w:cs="仿宋"/>
          <w:b w:val="0"/>
          <w:bCs/>
          <w:sz w:val="32"/>
          <w:szCs w:val="32"/>
        </w:rPr>
      </w:pP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机关运行经费：指行政单位和参照公务员法管理的事业单位使用一般公共预算安排的基本支出中的日常公用经费支出。</w:t>
      </w:r>
    </w:p>
    <w:p>
      <w:pPr>
        <w:keepNext w:val="0"/>
        <w:keepLines w:val="0"/>
        <w:pageBreakBefore w:val="0"/>
        <w:kinsoku/>
        <w:overflowPunct/>
        <w:topLinePunct w:val="0"/>
        <w:bidi w:val="0"/>
        <w:snapToGrid/>
        <w:spacing w:line="240" w:lineRule="auto"/>
        <w:rPr>
          <w:rFonts w:ascii="仿宋" w:hAnsi="仿宋" w:eastAsia="仿宋" w:cs="仿宋"/>
          <w:b w:val="0"/>
          <w:bCs/>
          <w:sz w:val="32"/>
          <w:szCs w:val="32"/>
        </w:rPr>
      </w:pPr>
    </w:p>
    <w:sectPr>
      <w:footerReference r:id="rId6" w:type="default"/>
      <w:pgSz w:w="11906" w:h="16838"/>
      <w:pgMar w:top="1440" w:right="1800" w:bottom="1440" w:left="1800" w:header="851" w:footer="992"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02F0C"/>
    <w:multiLevelType w:val="singleLevel"/>
    <w:tmpl w:val="AA502F0C"/>
    <w:lvl w:ilvl="0" w:tentative="0">
      <w:start w:val="1"/>
      <w:numFmt w:val="decimal"/>
      <w:suff w:val="nothing"/>
      <w:lvlText w:val="%1、"/>
      <w:lvlJc w:val="left"/>
    </w:lvl>
  </w:abstractNum>
  <w:abstractNum w:abstractNumId="1">
    <w:nsid w:val="AC6FD193"/>
    <w:multiLevelType w:val="singleLevel"/>
    <w:tmpl w:val="AC6FD193"/>
    <w:lvl w:ilvl="0" w:tentative="0">
      <w:start w:val="2"/>
      <w:numFmt w:val="chineseCounting"/>
      <w:suff w:val="nothing"/>
      <w:lvlText w:val="（%1）"/>
      <w:lvlJc w:val="left"/>
      <w:rPr>
        <w:rFonts w:hint="eastAsia"/>
      </w:rPr>
    </w:lvl>
  </w:abstractNum>
  <w:abstractNum w:abstractNumId="2">
    <w:nsid w:val="BBEF45CA"/>
    <w:multiLevelType w:val="singleLevel"/>
    <w:tmpl w:val="BBEF45C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mRkZGU0MjA4ZDMxNTU1YzkzZWVhYzY4YWZjMTIifQ=="/>
  </w:docVars>
  <w:rsids>
    <w:rsidRoot w:val="43A743C2"/>
    <w:rsid w:val="001D5DB2"/>
    <w:rsid w:val="00532050"/>
    <w:rsid w:val="00A91BBF"/>
    <w:rsid w:val="01E6258C"/>
    <w:rsid w:val="04812FB5"/>
    <w:rsid w:val="052A52EE"/>
    <w:rsid w:val="05D40466"/>
    <w:rsid w:val="07185B9E"/>
    <w:rsid w:val="071863D1"/>
    <w:rsid w:val="07B07F1C"/>
    <w:rsid w:val="086327E2"/>
    <w:rsid w:val="099772D9"/>
    <w:rsid w:val="0A9B4BF5"/>
    <w:rsid w:val="0AB64D9B"/>
    <w:rsid w:val="0E1F1149"/>
    <w:rsid w:val="108D74A9"/>
    <w:rsid w:val="118E0AF4"/>
    <w:rsid w:val="13263B0C"/>
    <w:rsid w:val="13C92283"/>
    <w:rsid w:val="14EB7FD7"/>
    <w:rsid w:val="19863684"/>
    <w:rsid w:val="1B650AE3"/>
    <w:rsid w:val="1B9643ED"/>
    <w:rsid w:val="1B9C2BDC"/>
    <w:rsid w:val="1D6E17A5"/>
    <w:rsid w:val="1E5E2ECD"/>
    <w:rsid w:val="1ECA008C"/>
    <w:rsid w:val="1F734DAC"/>
    <w:rsid w:val="1FD955FC"/>
    <w:rsid w:val="203A7BBA"/>
    <w:rsid w:val="21FD5AC0"/>
    <w:rsid w:val="22142947"/>
    <w:rsid w:val="23843AD1"/>
    <w:rsid w:val="259F0655"/>
    <w:rsid w:val="271B4BDB"/>
    <w:rsid w:val="27B64475"/>
    <w:rsid w:val="2B520958"/>
    <w:rsid w:val="2BDF043E"/>
    <w:rsid w:val="2CF47F19"/>
    <w:rsid w:val="2CF966B2"/>
    <w:rsid w:val="2D964B2C"/>
    <w:rsid w:val="2E7806D6"/>
    <w:rsid w:val="2F355C99"/>
    <w:rsid w:val="2FAB6386"/>
    <w:rsid w:val="304C5976"/>
    <w:rsid w:val="31BA624A"/>
    <w:rsid w:val="3254625E"/>
    <w:rsid w:val="32C369AB"/>
    <w:rsid w:val="32EB76C8"/>
    <w:rsid w:val="335E3B72"/>
    <w:rsid w:val="34DA33E4"/>
    <w:rsid w:val="3543082A"/>
    <w:rsid w:val="356F5EB9"/>
    <w:rsid w:val="35942299"/>
    <w:rsid w:val="35A96CB3"/>
    <w:rsid w:val="3671256C"/>
    <w:rsid w:val="36CB4B18"/>
    <w:rsid w:val="36FF3742"/>
    <w:rsid w:val="370143A0"/>
    <w:rsid w:val="37D11E18"/>
    <w:rsid w:val="390E4110"/>
    <w:rsid w:val="39260C28"/>
    <w:rsid w:val="39447B32"/>
    <w:rsid w:val="3AEE3017"/>
    <w:rsid w:val="3BC3338F"/>
    <w:rsid w:val="3BC927A7"/>
    <w:rsid w:val="3C9360FC"/>
    <w:rsid w:val="3CB12907"/>
    <w:rsid w:val="3E175815"/>
    <w:rsid w:val="3E990920"/>
    <w:rsid w:val="3F177A97"/>
    <w:rsid w:val="3F600650"/>
    <w:rsid w:val="3F8635A9"/>
    <w:rsid w:val="407133FF"/>
    <w:rsid w:val="43A743C2"/>
    <w:rsid w:val="4565155C"/>
    <w:rsid w:val="45E5444B"/>
    <w:rsid w:val="45EC7588"/>
    <w:rsid w:val="47086643"/>
    <w:rsid w:val="47462CC7"/>
    <w:rsid w:val="48C25E1C"/>
    <w:rsid w:val="493B1763"/>
    <w:rsid w:val="499E1EB8"/>
    <w:rsid w:val="4A075F7D"/>
    <w:rsid w:val="4A0E0F90"/>
    <w:rsid w:val="4A0E6709"/>
    <w:rsid w:val="4BEF21DE"/>
    <w:rsid w:val="4CDB2104"/>
    <w:rsid w:val="4CEC6878"/>
    <w:rsid w:val="4D4650A1"/>
    <w:rsid w:val="4D564B9D"/>
    <w:rsid w:val="4DA91B98"/>
    <w:rsid w:val="4F6D68D9"/>
    <w:rsid w:val="4FB81B84"/>
    <w:rsid w:val="5093102B"/>
    <w:rsid w:val="515A0A95"/>
    <w:rsid w:val="5417643A"/>
    <w:rsid w:val="54A159E1"/>
    <w:rsid w:val="5623109C"/>
    <w:rsid w:val="57804208"/>
    <w:rsid w:val="5849029F"/>
    <w:rsid w:val="58496ABB"/>
    <w:rsid w:val="593517B5"/>
    <w:rsid w:val="59803752"/>
    <w:rsid w:val="59977FDD"/>
    <w:rsid w:val="5A236E98"/>
    <w:rsid w:val="5B3A26EB"/>
    <w:rsid w:val="5B6B4F9B"/>
    <w:rsid w:val="5C451348"/>
    <w:rsid w:val="5C894D85"/>
    <w:rsid w:val="5E734892"/>
    <w:rsid w:val="5EE80C8D"/>
    <w:rsid w:val="5F8108E9"/>
    <w:rsid w:val="5FBB029F"/>
    <w:rsid w:val="602F6597"/>
    <w:rsid w:val="611E3B0F"/>
    <w:rsid w:val="62C76F5B"/>
    <w:rsid w:val="62C95953"/>
    <w:rsid w:val="63351269"/>
    <w:rsid w:val="63534C92"/>
    <w:rsid w:val="6361682D"/>
    <w:rsid w:val="64984D59"/>
    <w:rsid w:val="655E0EF1"/>
    <w:rsid w:val="658B5D3F"/>
    <w:rsid w:val="662A7F2C"/>
    <w:rsid w:val="66FA10CE"/>
    <w:rsid w:val="6777223F"/>
    <w:rsid w:val="69FF522C"/>
    <w:rsid w:val="6A2E3B26"/>
    <w:rsid w:val="6AD50437"/>
    <w:rsid w:val="6C15603A"/>
    <w:rsid w:val="6CCF49C0"/>
    <w:rsid w:val="6CD07746"/>
    <w:rsid w:val="6D543AE1"/>
    <w:rsid w:val="6DB30807"/>
    <w:rsid w:val="6E0E0262"/>
    <w:rsid w:val="716167CC"/>
    <w:rsid w:val="71F1134C"/>
    <w:rsid w:val="732C7745"/>
    <w:rsid w:val="73B7049A"/>
    <w:rsid w:val="73B93EE5"/>
    <w:rsid w:val="75167C55"/>
    <w:rsid w:val="765603A7"/>
    <w:rsid w:val="76E45A67"/>
    <w:rsid w:val="77310D67"/>
    <w:rsid w:val="7765143B"/>
    <w:rsid w:val="77E3655A"/>
    <w:rsid w:val="787E1A12"/>
    <w:rsid w:val="789D6823"/>
    <w:rsid w:val="78B614C1"/>
    <w:rsid w:val="7A6A04A0"/>
    <w:rsid w:val="7AEF309B"/>
    <w:rsid w:val="7C4C64DE"/>
    <w:rsid w:val="7CA53A11"/>
    <w:rsid w:val="7DC237C7"/>
    <w:rsid w:val="7F45772D"/>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font31"/>
    <w:basedOn w:val="7"/>
    <w:qFormat/>
    <w:uiPriority w:val="0"/>
    <w:rPr>
      <w:rFonts w:hint="eastAsia" w:ascii="方正小标宋简体" w:hAnsi="方正小标宋简体" w:eastAsia="方正小标宋简体" w:cs="方正小标宋简体"/>
      <w:color w:val="000000"/>
      <w:sz w:val="40"/>
      <w:szCs w:val="40"/>
      <w:u w:val="none"/>
    </w:rPr>
  </w:style>
  <w:style w:type="character" w:customStyle="1" w:styleId="11">
    <w:name w:val="NormalCharacter"/>
    <w:semiHidden/>
    <w:qFormat/>
    <w:uiPriority w:val="0"/>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5171</Words>
  <Characters>5934</Characters>
  <Lines>49</Lines>
  <Paragraphs>14</Paragraphs>
  <TotalTime>4</TotalTime>
  <ScaleCrop>false</ScaleCrop>
  <LinksUpToDate>false</LinksUpToDate>
  <CharactersWithSpaces>7317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2019-10-09T00:19:00Z</dcterms:created>
  <dc:creator>春天</dc:creator>
  <cp:lastModifiedBy>双平</cp:lastModifiedBy>
  <cp:lastPrinted>2022-09-19T07:51:42Z</cp:lastPrinted>
  <dcterms:modified xsi:type="dcterms:W3CDTF">2022-09-19T07:54:14Z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947DF094BB24405D823BC7D140FB362D</vt:lpwstr>
  </property>
</Properties>
</file>