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60" w:lineRule="exact"/>
        <w:ind w:left="-56" w:leftChars="-18"/>
        <w:rPr>
          <w:rFonts w:ascii="黑体" w:hAnsi="黑体" w:eastAsia="黑体" w:cs="宋体"/>
          <w:color w:val="000000" w:themeColor="text1"/>
          <w:sz w:val="28"/>
          <w:szCs w:val="28"/>
        </w:rPr>
      </w:pPr>
      <w:r>
        <w:rPr>
          <w:rFonts w:hint="eastAsia" w:ascii="黑体" w:hAnsi="黑体" w:eastAsia="黑体" w:cs="宋体"/>
          <w:color w:val="000000" w:themeColor="text1"/>
          <w:sz w:val="28"/>
          <w:szCs w:val="28"/>
        </w:rPr>
        <w:t>附件1</w:t>
      </w:r>
    </w:p>
    <w:p>
      <w:pPr>
        <w:spacing w:afterLines="50" w:line="560" w:lineRule="exact"/>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吕梁市离石区所辖乡镇（街道）法定行政执法权清单</w:t>
      </w:r>
    </w:p>
    <w:tbl>
      <w:tblPr>
        <w:tblStyle w:val="5"/>
        <w:tblW w:w="14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2113"/>
        <w:gridCol w:w="675"/>
        <w:gridCol w:w="9311"/>
        <w:gridCol w:w="965"/>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dxa"/>
            <w:tcMar>
              <w:left w:w="28" w:type="dxa"/>
              <w:right w:w="28" w:type="dxa"/>
            </w:tcMar>
            <w:vAlign w:val="center"/>
          </w:tcPr>
          <w:p>
            <w:pPr>
              <w:spacing w:line="2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序号</w:t>
            </w:r>
          </w:p>
        </w:tc>
        <w:tc>
          <w:tcPr>
            <w:tcW w:w="2113" w:type="dxa"/>
            <w:vAlign w:val="center"/>
          </w:tcPr>
          <w:p>
            <w:pPr>
              <w:spacing w:line="2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事项</w:t>
            </w:r>
          </w:p>
          <w:p>
            <w:pPr>
              <w:spacing w:line="2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名称</w:t>
            </w:r>
          </w:p>
        </w:tc>
        <w:tc>
          <w:tcPr>
            <w:tcW w:w="675" w:type="dxa"/>
            <w:vAlign w:val="center"/>
          </w:tcPr>
          <w:p>
            <w:pPr>
              <w:spacing w:line="2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事项类型</w:t>
            </w:r>
          </w:p>
        </w:tc>
        <w:tc>
          <w:tcPr>
            <w:tcW w:w="9311" w:type="dxa"/>
            <w:vAlign w:val="center"/>
          </w:tcPr>
          <w:p>
            <w:pPr>
              <w:spacing w:line="2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设定依据</w:t>
            </w:r>
          </w:p>
        </w:tc>
        <w:tc>
          <w:tcPr>
            <w:tcW w:w="965" w:type="dxa"/>
            <w:vAlign w:val="center"/>
          </w:tcPr>
          <w:p>
            <w:pPr>
              <w:spacing w:line="2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区级指导部门</w:t>
            </w:r>
          </w:p>
        </w:tc>
        <w:tc>
          <w:tcPr>
            <w:tcW w:w="1309" w:type="dxa"/>
            <w:vAlign w:val="center"/>
          </w:tcPr>
          <w:p>
            <w:pPr>
              <w:spacing w:line="2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权力主体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tcMar>
              <w:left w:w="28" w:type="dxa"/>
              <w:right w:w="28" w:type="dxa"/>
            </w:tcMar>
            <w:vAlign w:val="center"/>
          </w:tcPr>
          <w:p>
            <w:pPr>
              <w:tabs>
                <w:tab w:val="left" w:pos="420"/>
              </w:tabs>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w:t>
            </w:r>
          </w:p>
        </w:tc>
        <w:tc>
          <w:tcPr>
            <w:tcW w:w="2113" w:type="dxa"/>
            <w:vAlign w:val="center"/>
          </w:tcPr>
          <w:p>
            <w:pPr>
              <w:spacing w:line="340" w:lineRule="exact"/>
              <w:jc w:val="left"/>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对永久性测量标志的检查、维护</w:t>
            </w:r>
          </w:p>
        </w:tc>
        <w:tc>
          <w:tcPr>
            <w:tcW w:w="675" w:type="dxa"/>
            <w:vAlign w:val="center"/>
          </w:tcPr>
          <w:p>
            <w:pPr>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行政检查</w:t>
            </w:r>
          </w:p>
        </w:tc>
        <w:tc>
          <w:tcPr>
            <w:tcW w:w="9311" w:type="dxa"/>
            <w:vAlign w:val="center"/>
          </w:tcPr>
          <w:p>
            <w:pPr>
              <w:spacing w:line="340" w:lineRule="exact"/>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1.《中华人民共和国测绘法》第四十五条 县级以上人民政府应当采取有效措施加强测量标志的保护工作。县级以上人民政府测绘地理信息主管部门应当按照规定检查、维护永久性测量标志。乡级人民政府应当做好本行政区域内的测量标志保护工作。</w:t>
            </w:r>
          </w:p>
        </w:tc>
        <w:tc>
          <w:tcPr>
            <w:tcW w:w="965" w:type="dxa"/>
            <w:vAlign w:val="center"/>
          </w:tcPr>
          <w:p>
            <w:pPr>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区自然资源局</w:t>
            </w:r>
          </w:p>
        </w:tc>
        <w:tc>
          <w:tcPr>
            <w:tcW w:w="1309" w:type="dxa"/>
            <w:vAlign w:val="center"/>
          </w:tcPr>
          <w:p>
            <w:pPr>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tcMar>
              <w:left w:w="28" w:type="dxa"/>
              <w:right w:w="28" w:type="dxa"/>
            </w:tcMar>
            <w:vAlign w:val="center"/>
          </w:tcPr>
          <w:p>
            <w:pPr>
              <w:tabs>
                <w:tab w:val="left" w:pos="420"/>
              </w:tabs>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2</w:t>
            </w:r>
          </w:p>
        </w:tc>
        <w:tc>
          <w:tcPr>
            <w:tcW w:w="2113" w:type="dxa"/>
            <w:vAlign w:val="center"/>
          </w:tcPr>
          <w:p>
            <w:pPr>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安全生产检查</w:t>
            </w:r>
          </w:p>
        </w:tc>
        <w:tc>
          <w:tcPr>
            <w:tcW w:w="675" w:type="dxa"/>
            <w:vAlign w:val="center"/>
          </w:tcPr>
          <w:p>
            <w:pPr>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行政检查</w:t>
            </w:r>
          </w:p>
        </w:tc>
        <w:tc>
          <w:tcPr>
            <w:tcW w:w="9311" w:type="dxa"/>
            <w:vAlign w:val="center"/>
          </w:tcPr>
          <w:p>
            <w:pPr>
              <w:spacing w:line="340" w:lineRule="exact"/>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 xml:space="preserve">1.《安全生产法》第八条 第四款  乡、镇人民政府以及街道办事处、开发区管理机构等地方人民政府的派出机关应当按照职责，加强对本行政区域内生产经营单位安全生产状况的监督检查，协助上级人民政府有关部门依法履行安全生产监督管理职责。 </w:t>
            </w:r>
          </w:p>
          <w:p>
            <w:pPr>
              <w:spacing w:line="340" w:lineRule="exact"/>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2.《山西省安全生产条例》第七条 乡、镇人民政府以及街道办事处、开发区管理机构等人民政府的派出机关应当按照职责，加强对本行政区域内生产经营单位安全生产状况的监督检查，协助上级人民政府有关部门依法履行安全生产监督管理职责;发现事故隐患或者违法行为的，督促其改正并向有关部门报告，负有安全生产监督管理职责的部门应当及时予以处理。</w:t>
            </w:r>
          </w:p>
          <w:p>
            <w:pPr>
              <w:spacing w:line="340" w:lineRule="exact"/>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3.《安全生产违法行为处罚办法》第六十五条 安全监管监察部门根据需要,可以在其法定职权范围内委托符合行政处罚法第十九条规定条件的组织或者乡镇人民政府、城市街道办事处设立的安全生产监督管理机构实施行政处罚。受委托的单位在委托范围内,以委托的安全监管监察部门名义实施行政处罚。委托的安全监管监察部门应当监督检查受委托的单位实施行政处罚,并对其实施行政处罚的后果承担法律责任。</w:t>
            </w:r>
          </w:p>
        </w:tc>
        <w:tc>
          <w:tcPr>
            <w:tcW w:w="965" w:type="dxa"/>
            <w:vAlign w:val="center"/>
          </w:tcPr>
          <w:p>
            <w:pPr>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区应急局</w:t>
            </w:r>
          </w:p>
        </w:tc>
        <w:tc>
          <w:tcPr>
            <w:tcW w:w="1309" w:type="dxa"/>
            <w:vAlign w:val="center"/>
          </w:tcPr>
          <w:p>
            <w:pPr>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tcMar>
              <w:left w:w="28" w:type="dxa"/>
              <w:right w:w="28" w:type="dxa"/>
            </w:tcMar>
            <w:vAlign w:val="center"/>
          </w:tcPr>
          <w:p>
            <w:pPr>
              <w:tabs>
                <w:tab w:val="left" w:pos="420"/>
              </w:tabs>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3</w:t>
            </w:r>
          </w:p>
        </w:tc>
        <w:tc>
          <w:tcPr>
            <w:tcW w:w="2113" w:type="dxa"/>
            <w:vAlign w:val="center"/>
          </w:tcPr>
          <w:p>
            <w:pPr>
              <w:spacing w:line="340" w:lineRule="exact"/>
              <w:jc w:val="left"/>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对在乡、村庄规划区内未依法取得乡村建设规划许可证或者未按照乡村建设规划许可证的规定进行建设的强制</w:t>
            </w:r>
          </w:p>
        </w:tc>
        <w:tc>
          <w:tcPr>
            <w:tcW w:w="675" w:type="dxa"/>
            <w:vAlign w:val="center"/>
          </w:tcPr>
          <w:p>
            <w:pPr>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行政强制</w:t>
            </w:r>
          </w:p>
        </w:tc>
        <w:tc>
          <w:tcPr>
            <w:tcW w:w="9311" w:type="dxa"/>
            <w:vAlign w:val="center"/>
          </w:tcPr>
          <w:p>
            <w:pPr>
              <w:spacing w:line="340" w:lineRule="exact"/>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1.《中华人民共和国城乡规划法》第六十五条 在乡、村庄规划区内未依法取得乡村建设规划许可证或者未按照乡村建设规划许可证的规定进行建设的，由乡、镇人民政府责令停止建设、限期改正；逾期不改正的，可以拆除。</w:t>
            </w:r>
          </w:p>
          <w:p>
            <w:pPr>
              <w:spacing w:line="340" w:lineRule="exact"/>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2.《村庄和集镇规划建设条例》第三十六条 在村庄、集镇规划区内，未按规划审批程序批准而取得建设用地批准文件，占用土地的，批准文件无效，占用的土地由乡级以上人民政府责令退回。</w:t>
            </w:r>
          </w:p>
          <w:p>
            <w:pPr>
              <w:spacing w:line="340" w:lineRule="exact"/>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  第四十条 擅自在村庄、集镇规划区内的街道、广场、市场和车站等场所修建临时建筑物、构筑物和其他设施的，由乡级人民政府责令限期拆除，并可处以罚款。</w:t>
            </w:r>
          </w:p>
        </w:tc>
        <w:tc>
          <w:tcPr>
            <w:tcW w:w="965" w:type="dxa"/>
            <w:vAlign w:val="center"/>
          </w:tcPr>
          <w:p>
            <w:pPr>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区自然资源局、区住建局</w:t>
            </w:r>
          </w:p>
        </w:tc>
        <w:tc>
          <w:tcPr>
            <w:tcW w:w="1309" w:type="dxa"/>
            <w:vAlign w:val="center"/>
          </w:tcPr>
          <w:p>
            <w:pPr>
              <w:spacing w:line="340" w:lineRule="exact"/>
              <w:jc w:val="center"/>
              <w:rPr>
                <w:rFonts w:ascii="仿宋" w:hAnsi="仿宋" w:eastAsia="仿宋" w:cs="仿宋"/>
                <w:color w:val="000000" w:themeColor="text1"/>
                <w:sz w:val="21"/>
                <w:szCs w:val="21"/>
              </w:rPr>
            </w:pPr>
          </w:p>
          <w:p>
            <w:pPr>
              <w:spacing w:line="340" w:lineRule="exact"/>
              <w:jc w:val="center"/>
              <w:rPr>
                <w:rFonts w:ascii="仿宋" w:hAnsi="仿宋" w:eastAsia="仿宋" w:cs="仿宋"/>
                <w:color w:val="000000" w:themeColor="text1"/>
                <w:sz w:val="21"/>
                <w:szCs w:val="21"/>
              </w:rPr>
            </w:pPr>
          </w:p>
          <w:p>
            <w:pPr>
              <w:spacing w:line="340" w:lineRule="exact"/>
              <w:jc w:val="center"/>
              <w:rPr>
                <w:rFonts w:ascii="仿宋" w:hAnsi="仿宋" w:eastAsia="仿宋" w:cs="仿宋"/>
                <w:color w:val="000000" w:themeColor="text1"/>
                <w:sz w:val="21"/>
                <w:szCs w:val="21"/>
              </w:rPr>
            </w:pPr>
          </w:p>
          <w:p>
            <w:pPr>
              <w:spacing w:line="340" w:lineRule="exact"/>
              <w:jc w:val="center"/>
              <w:rPr>
                <w:rFonts w:ascii="仿宋" w:hAnsi="仿宋" w:eastAsia="仿宋" w:cs="仿宋"/>
                <w:color w:val="000000" w:themeColor="text1"/>
                <w:sz w:val="21"/>
                <w:szCs w:val="21"/>
              </w:rPr>
            </w:pPr>
          </w:p>
          <w:p>
            <w:pPr>
              <w:spacing w:line="340" w:lineRule="exact"/>
              <w:jc w:val="center"/>
              <w:rPr>
                <w:rFonts w:ascii="仿宋" w:hAnsi="仿宋" w:eastAsia="仿宋" w:cs="仿宋"/>
                <w:color w:val="000000" w:themeColor="text1"/>
                <w:sz w:val="21"/>
                <w:szCs w:val="21"/>
              </w:rPr>
            </w:pPr>
          </w:p>
          <w:p>
            <w:pPr>
              <w:spacing w:line="340" w:lineRule="exact"/>
              <w:jc w:val="center"/>
              <w:rPr>
                <w:rFonts w:ascii="仿宋" w:hAnsi="仿宋" w:eastAsia="仿宋" w:cs="仿宋"/>
                <w:color w:val="000000" w:themeColor="text1"/>
                <w:sz w:val="21"/>
                <w:szCs w:val="21"/>
              </w:rPr>
            </w:pPr>
          </w:p>
          <w:p>
            <w:pPr>
              <w:spacing w:line="340" w:lineRule="exact"/>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tcMar>
              <w:left w:w="28" w:type="dxa"/>
              <w:right w:w="28" w:type="dxa"/>
            </w:tcMar>
            <w:vAlign w:val="center"/>
          </w:tcPr>
          <w:p>
            <w:pPr>
              <w:tabs>
                <w:tab w:val="left" w:pos="420"/>
              </w:tabs>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4</w:t>
            </w:r>
          </w:p>
        </w:tc>
        <w:tc>
          <w:tcPr>
            <w:tcW w:w="2113" w:type="dxa"/>
            <w:vAlign w:val="center"/>
          </w:tcPr>
          <w:p>
            <w:pPr>
              <w:spacing w:line="340" w:lineRule="exact"/>
              <w:jc w:val="left"/>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铲除非法种植毒品原植物</w:t>
            </w:r>
          </w:p>
        </w:tc>
        <w:tc>
          <w:tcPr>
            <w:tcW w:w="675" w:type="dxa"/>
            <w:vAlign w:val="center"/>
          </w:tcPr>
          <w:p>
            <w:pPr>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行政强制</w:t>
            </w:r>
          </w:p>
        </w:tc>
        <w:tc>
          <w:tcPr>
            <w:tcW w:w="9311" w:type="dxa"/>
            <w:vAlign w:val="center"/>
          </w:tcPr>
          <w:p>
            <w:pPr>
              <w:numPr>
                <w:ilvl w:val="0"/>
                <w:numId w:val="1"/>
              </w:numPr>
              <w:spacing w:line="340" w:lineRule="exact"/>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 xml:space="preserve">《中华人民共和国禁毒法》第十九条第二款 地方各级人民政府发现非法种植毒品原植物的，应当立即采取措施予以制止、铲除。村民委员会、居民委员会发现非法种植毒品原植物的，应当及时予以制止、铲除，并向当地公安机关报告。 </w:t>
            </w:r>
          </w:p>
          <w:p>
            <w:pPr>
              <w:spacing w:line="340" w:lineRule="exact"/>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 xml:space="preserve"> 2.《山西省禁毒条例》第十七条 乡（镇）人民政府、街道办事处，以及村（居）民委员会应当配合有关部门落实毒品和制毒物品管制措施；发现非法种植毒品原植物的，应当及时予以制止、铲除，并向所在地公安机关报告；发现其他毒品违法犯罪线索的，应当及时报告所在地公安机关。</w:t>
            </w:r>
          </w:p>
        </w:tc>
        <w:tc>
          <w:tcPr>
            <w:tcW w:w="965" w:type="dxa"/>
            <w:vAlign w:val="center"/>
          </w:tcPr>
          <w:p>
            <w:pPr>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吕梁市公安局离石分局</w:t>
            </w:r>
          </w:p>
        </w:tc>
        <w:tc>
          <w:tcPr>
            <w:tcW w:w="1309" w:type="dxa"/>
            <w:vAlign w:val="center"/>
          </w:tcPr>
          <w:p>
            <w:pPr>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tcMar>
              <w:left w:w="28" w:type="dxa"/>
              <w:right w:w="28" w:type="dxa"/>
            </w:tcMar>
            <w:vAlign w:val="center"/>
          </w:tcPr>
          <w:p>
            <w:pPr>
              <w:tabs>
                <w:tab w:val="left" w:pos="420"/>
              </w:tabs>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5</w:t>
            </w:r>
          </w:p>
        </w:tc>
        <w:tc>
          <w:tcPr>
            <w:tcW w:w="2113" w:type="dxa"/>
            <w:vAlign w:val="center"/>
          </w:tcPr>
          <w:p>
            <w:pPr>
              <w:spacing w:line="340" w:lineRule="exact"/>
              <w:jc w:val="left"/>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强制拆除、砍伐或者清除在电力设施保护区内修建的建筑物、构筑物或者种植植物、堆放物品</w:t>
            </w:r>
          </w:p>
        </w:tc>
        <w:tc>
          <w:tcPr>
            <w:tcW w:w="675" w:type="dxa"/>
            <w:vAlign w:val="center"/>
          </w:tcPr>
          <w:p>
            <w:pPr>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行政强制</w:t>
            </w:r>
          </w:p>
        </w:tc>
        <w:tc>
          <w:tcPr>
            <w:tcW w:w="9311" w:type="dxa"/>
            <w:vAlign w:val="center"/>
          </w:tcPr>
          <w:p>
            <w:pPr>
              <w:spacing w:line="340" w:lineRule="exact"/>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《中华人民共和国电力法》第六十九条 违反本法第五十三条规定，在依法划定的电力设施保护区内修建建筑物、构筑物或者种植植物、堆放物品，危及电力设施安全的，由当地人民政府责令强制拆除、砍伐或者清除。</w:t>
            </w:r>
          </w:p>
        </w:tc>
        <w:tc>
          <w:tcPr>
            <w:tcW w:w="965" w:type="dxa"/>
            <w:vAlign w:val="center"/>
          </w:tcPr>
          <w:p>
            <w:pPr>
              <w:spacing w:line="340" w:lineRule="exact"/>
              <w:jc w:val="center"/>
              <w:rPr>
                <w:rFonts w:ascii="仿宋" w:hAnsi="仿宋" w:eastAsia="仿宋" w:cs="仿宋"/>
                <w:color w:val="000000" w:themeColor="text1"/>
                <w:sz w:val="21"/>
                <w:szCs w:val="21"/>
              </w:rPr>
            </w:pPr>
          </w:p>
        </w:tc>
        <w:tc>
          <w:tcPr>
            <w:tcW w:w="1309" w:type="dxa"/>
            <w:vAlign w:val="center"/>
          </w:tcPr>
          <w:p>
            <w:pPr>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tcMar>
              <w:left w:w="28" w:type="dxa"/>
              <w:right w:w="28" w:type="dxa"/>
            </w:tcMar>
            <w:vAlign w:val="center"/>
          </w:tcPr>
          <w:p>
            <w:pPr>
              <w:tabs>
                <w:tab w:val="left" w:pos="420"/>
              </w:tabs>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6</w:t>
            </w:r>
          </w:p>
        </w:tc>
        <w:tc>
          <w:tcPr>
            <w:tcW w:w="2113" w:type="dxa"/>
            <w:vAlign w:val="center"/>
          </w:tcPr>
          <w:p>
            <w:pPr>
              <w:spacing w:line="340" w:lineRule="exact"/>
              <w:jc w:val="left"/>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对受洪水威胁的群众的强制转移、地质灾害险情情况紧急的强行组织避灾疏散</w:t>
            </w:r>
          </w:p>
        </w:tc>
        <w:tc>
          <w:tcPr>
            <w:tcW w:w="675" w:type="dxa"/>
            <w:vAlign w:val="center"/>
          </w:tcPr>
          <w:p>
            <w:pPr>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行政强制</w:t>
            </w:r>
          </w:p>
        </w:tc>
        <w:tc>
          <w:tcPr>
            <w:tcW w:w="9311" w:type="dxa"/>
            <w:vAlign w:val="center"/>
          </w:tcPr>
          <w:p>
            <w:pPr>
              <w:numPr>
                <w:ilvl w:val="0"/>
                <w:numId w:val="2"/>
              </w:numPr>
              <w:spacing w:line="340" w:lineRule="exact"/>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《中华人民共和国防汛条例》第三十四条 当洪水威胁群众安全时，当地人民政府应当及时组织群众撤离至安全地带，并做好生活安排。</w:t>
            </w:r>
          </w:p>
          <w:p>
            <w:pPr>
              <w:numPr>
                <w:ilvl w:val="0"/>
                <w:numId w:val="2"/>
              </w:numPr>
              <w:spacing w:line="340" w:lineRule="exact"/>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《地质灾害防治条例》第二十九条　接到地质灾害险情报告的当地人民政府、基层群众自治组织应当根据实际情况,及时动员受到地质灾害威胁的居民以及其他人员转移到安全地带；情况紧急时,可以强行组织避灾疏散。</w:t>
            </w:r>
          </w:p>
        </w:tc>
        <w:tc>
          <w:tcPr>
            <w:tcW w:w="965" w:type="dxa"/>
            <w:vAlign w:val="center"/>
          </w:tcPr>
          <w:p>
            <w:pPr>
              <w:spacing w:line="340" w:lineRule="exact"/>
              <w:jc w:val="center"/>
              <w:rPr>
                <w:rFonts w:ascii="仿宋" w:hAnsi="仿宋" w:eastAsia="仿宋" w:cs="仿宋"/>
                <w:color w:val="000000" w:themeColor="text1"/>
                <w:sz w:val="21"/>
                <w:szCs w:val="21"/>
              </w:rPr>
            </w:pPr>
          </w:p>
        </w:tc>
        <w:tc>
          <w:tcPr>
            <w:tcW w:w="1309" w:type="dxa"/>
            <w:vAlign w:val="center"/>
          </w:tcPr>
          <w:p>
            <w:pPr>
              <w:spacing w:line="340" w:lineRule="exact"/>
              <w:jc w:val="center"/>
              <w:rPr>
                <w:rFonts w:ascii="仿宋" w:hAnsi="仿宋" w:eastAsia="仿宋" w:cs="仿宋"/>
                <w:color w:val="000000" w:themeColor="text1"/>
                <w:sz w:val="21"/>
                <w:szCs w:val="21"/>
              </w:rPr>
            </w:pPr>
          </w:p>
          <w:p>
            <w:pPr>
              <w:spacing w:line="340" w:lineRule="exact"/>
              <w:jc w:val="center"/>
              <w:rPr>
                <w:rFonts w:ascii="仿宋" w:hAnsi="仿宋" w:eastAsia="仿宋" w:cs="仿宋"/>
                <w:color w:val="000000" w:themeColor="text1"/>
                <w:sz w:val="21"/>
                <w:szCs w:val="21"/>
              </w:rPr>
            </w:pPr>
          </w:p>
          <w:p>
            <w:pPr>
              <w:spacing w:line="340" w:lineRule="exact"/>
              <w:jc w:val="center"/>
              <w:rPr>
                <w:rFonts w:ascii="仿宋" w:hAnsi="仿宋" w:eastAsia="仿宋" w:cs="仿宋"/>
                <w:color w:val="000000" w:themeColor="text1"/>
                <w:sz w:val="21"/>
                <w:szCs w:val="21"/>
              </w:rPr>
            </w:pPr>
          </w:p>
          <w:p>
            <w:pPr>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tcMar>
              <w:left w:w="28" w:type="dxa"/>
              <w:right w:w="28" w:type="dxa"/>
            </w:tcMar>
            <w:vAlign w:val="center"/>
          </w:tcPr>
          <w:p>
            <w:pPr>
              <w:tabs>
                <w:tab w:val="left" w:pos="420"/>
              </w:tabs>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7</w:t>
            </w:r>
          </w:p>
        </w:tc>
        <w:tc>
          <w:tcPr>
            <w:tcW w:w="2113" w:type="dxa"/>
            <w:vAlign w:val="center"/>
          </w:tcPr>
          <w:p>
            <w:pPr>
              <w:spacing w:line="340" w:lineRule="exact"/>
              <w:jc w:val="left"/>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对损坏村庄、集镇的房屋、公共设施和破坏村容镇貌、环境卫生的处罚</w:t>
            </w:r>
          </w:p>
        </w:tc>
        <w:tc>
          <w:tcPr>
            <w:tcW w:w="675" w:type="dxa"/>
            <w:vAlign w:val="center"/>
          </w:tcPr>
          <w:p>
            <w:pPr>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行政处罚</w:t>
            </w:r>
          </w:p>
        </w:tc>
        <w:tc>
          <w:tcPr>
            <w:tcW w:w="9311" w:type="dxa"/>
            <w:vAlign w:val="center"/>
          </w:tcPr>
          <w:p>
            <w:pPr>
              <w:numPr>
                <w:ilvl w:val="0"/>
                <w:numId w:val="3"/>
              </w:numPr>
              <w:spacing w:line="340" w:lineRule="exact"/>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《村庄和集镇规划建设管理条例》第三十九条 有下列行为之一的，由乡级人民政府责令停止侵害，可以处以罚款；造成损失的，并应当赔偿：（一）损坏村庄和集镇的房屋、公共设施的；（二）乱堆粪便、垃圾、柴草，破坏村容镇貌和环境卫生的。</w:t>
            </w:r>
          </w:p>
          <w:p>
            <w:pPr>
              <w:numPr>
                <w:ilvl w:val="0"/>
                <w:numId w:val="3"/>
              </w:numPr>
              <w:spacing w:line="340" w:lineRule="exact"/>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《山西省村庄和集镇规划建设管理实施办法》第二十四条 有下列行为之一的，由乡级人民政府责令停止侵害，并按下列规定处罚:(一)损坏村庄、集镇房屋和公共设施的，责令负责修复，并处以300元以上500元以下罚款。(二)乱堆粪便、垃圾、柴草，破坏村容镇貌环境卫生的，处以30元以上50元以下的罚款。</w:t>
            </w:r>
          </w:p>
        </w:tc>
        <w:tc>
          <w:tcPr>
            <w:tcW w:w="965" w:type="dxa"/>
            <w:vAlign w:val="center"/>
          </w:tcPr>
          <w:p>
            <w:pPr>
              <w:spacing w:line="340" w:lineRule="exact"/>
              <w:jc w:val="center"/>
              <w:rPr>
                <w:rFonts w:ascii="仿宋" w:hAnsi="仿宋" w:eastAsia="仿宋" w:cs="仿宋"/>
                <w:color w:val="000000" w:themeColor="text1"/>
                <w:sz w:val="21"/>
                <w:szCs w:val="21"/>
              </w:rPr>
            </w:pPr>
          </w:p>
        </w:tc>
        <w:tc>
          <w:tcPr>
            <w:tcW w:w="1309" w:type="dxa"/>
            <w:vAlign w:val="center"/>
          </w:tcPr>
          <w:p>
            <w:pPr>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tcMar>
              <w:left w:w="28" w:type="dxa"/>
              <w:right w:w="28" w:type="dxa"/>
            </w:tcMar>
            <w:vAlign w:val="center"/>
          </w:tcPr>
          <w:p>
            <w:pPr>
              <w:tabs>
                <w:tab w:val="left" w:pos="420"/>
              </w:tabs>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8</w:t>
            </w:r>
          </w:p>
        </w:tc>
        <w:tc>
          <w:tcPr>
            <w:tcW w:w="2113" w:type="dxa"/>
            <w:vAlign w:val="center"/>
          </w:tcPr>
          <w:p>
            <w:pPr>
              <w:spacing w:line="340" w:lineRule="exact"/>
              <w:jc w:val="left"/>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对损坏或者擅自移动有钉螺地带警示标志的处罚</w:t>
            </w:r>
          </w:p>
        </w:tc>
        <w:tc>
          <w:tcPr>
            <w:tcW w:w="675" w:type="dxa"/>
            <w:vAlign w:val="center"/>
          </w:tcPr>
          <w:p>
            <w:pPr>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行政处罚</w:t>
            </w:r>
          </w:p>
        </w:tc>
        <w:tc>
          <w:tcPr>
            <w:tcW w:w="9311" w:type="dxa"/>
            <w:vAlign w:val="center"/>
          </w:tcPr>
          <w:p>
            <w:pPr>
              <w:spacing w:line="340" w:lineRule="exact"/>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《血吸虫病防治条例》第五十一条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965" w:type="dxa"/>
            <w:vAlign w:val="center"/>
          </w:tcPr>
          <w:p>
            <w:pPr>
              <w:spacing w:line="340" w:lineRule="exact"/>
              <w:jc w:val="center"/>
              <w:rPr>
                <w:rFonts w:ascii="仿宋" w:hAnsi="仿宋" w:eastAsia="仿宋" w:cs="仿宋"/>
                <w:color w:val="000000" w:themeColor="text1"/>
                <w:sz w:val="21"/>
                <w:szCs w:val="21"/>
              </w:rPr>
            </w:pPr>
          </w:p>
        </w:tc>
        <w:tc>
          <w:tcPr>
            <w:tcW w:w="1309" w:type="dxa"/>
            <w:vAlign w:val="center"/>
          </w:tcPr>
          <w:p>
            <w:pPr>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tcMar>
              <w:left w:w="28" w:type="dxa"/>
              <w:right w:w="28" w:type="dxa"/>
            </w:tcMar>
            <w:vAlign w:val="center"/>
          </w:tcPr>
          <w:p>
            <w:pPr>
              <w:tabs>
                <w:tab w:val="left" w:pos="420"/>
              </w:tabs>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9</w:t>
            </w:r>
          </w:p>
        </w:tc>
        <w:tc>
          <w:tcPr>
            <w:tcW w:w="2113" w:type="dxa"/>
            <w:vAlign w:val="center"/>
          </w:tcPr>
          <w:p>
            <w:pPr>
              <w:spacing w:line="340" w:lineRule="exact"/>
              <w:jc w:val="left"/>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对违反《山西省公路条例》五十六条第一款规定的处罚</w:t>
            </w:r>
          </w:p>
        </w:tc>
        <w:tc>
          <w:tcPr>
            <w:tcW w:w="675" w:type="dxa"/>
            <w:vAlign w:val="center"/>
          </w:tcPr>
          <w:p>
            <w:pPr>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行政处罚</w:t>
            </w:r>
          </w:p>
        </w:tc>
        <w:tc>
          <w:tcPr>
            <w:tcW w:w="9311" w:type="dxa"/>
            <w:vAlign w:val="center"/>
          </w:tcPr>
          <w:p>
            <w:pPr>
              <w:spacing w:line="340" w:lineRule="exact"/>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《山西省公路条例》五十六条 村道受国家保护，未经乡(镇)人民政府批准，禁止任何单位和个人从事下列活动:(一)占用、挖掘村道;(二)跨越、穿越村道修建桥梁、渡槽或者架设、埋设管线、电缆等设施;(三)履带车、铁轮车或者其他可能损害路面的机具行驶村道，但是履带、铁轮式农业机械在当地田间作业需要在村道上短距离行驶并采取保护措施的除外;(四)设置、移动村道附属设施和标志;(五)超限运输车辆行驶村道;(六)法律、法规禁止的其他活动。  六十五条 违反本条例第五十六条第一款规定的，由乡(镇)人民政府责令限期改正;逾期未改正的，处以二百元以上一千元以下罚款。</w:t>
            </w:r>
          </w:p>
        </w:tc>
        <w:tc>
          <w:tcPr>
            <w:tcW w:w="965" w:type="dxa"/>
            <w:vAlign w:val="center"/>
          </w:tcPr>
          <w:p>
            <w:pPr>
              <w:spacing w:line="340" w:lineRule="exact"/>
              <w:jc w:val="center"/>
              <w:rPr>
                <w:rFonts w:ascii="仿宋" w:hAnsi="仿宋" w:eastAsia="仿宋" w:cs="仿宋"/>
                <w:color w:val="000000" w:themeColor="text1"/>
                <w:sz w:val="21"/>
                <w:szCs w:val="21"/>
              </w:rPr>
            </w:pPr>
          </w:p>
        </w:tc>
        <w:tc>
          <w:tcPr>
            <w:tcW w:w="1309" w:type="dxa"/>
            <w:vAlign w:val="center"/>
          </w:tcPr>
          <w:p>
            <w:pPr>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tcMar>
              <w:left w:w="28" w:type="dxa"/>
              <w:right w:w="28" w:type="dxa"/>
            </w:tcMar>
            <w:vAlign w:val="center"/>
          </w:tcPr>
          <w:p>
            <w:pPr>
              <w:tabs>
                <w:tab w:val="left" w:pos="420"/>
              </w:tabs>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10</w:t>
            </w:r>
          </w:p>
        </w:tc>
        <w:tc>
          <w:tcPr>
            <w:tcW w:w="2113" w:type="dxa"/>
            <w:vAlign w:val="center"/>
          </w:tcPr>
          <w:p>
            <w:pPr>
              <w:spacing w:line="340" w:lineRule="exact"/>
              <w:jc w:val="left"/>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对未按规定送子女或被监护人就学接受义务教育，经教育后仍拒绝履行的处罚</w:t>
            </w:r>
          </w:p>
        </w:tc>
        <w:tc>
          <w:tcPr>
            <w:tcW w:w="675" w:type="dxa"/>
            <w:vAlign w:val="center"/>
          </w:tcPr>
          <w:p>
            <w:pPr>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行政处罚</w:t>
            </w:r>
          </w:p>
        </w:tc>
        <w:tc>
          <w:tcPr>
            <w:tcW w:w="9311" w:type="dxa"/>
            <w:vAlign w:val="center"/>
          </w:tcPr>
          <w:p>
            <w:pPr>
              <w:spacing w:line="340" w:lineRule="exact"/>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《教育行政处罚暂行实施办法》第十一条 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965" w:type="dxa"/>
            <w:vAlign w:val="center"/>
          </w:tcPr>
          <w:p>
            <w:pPr>
              <w:spacing w:line="340" w:lineRule="exact"/>
              <w:jc w:val="center"/>
              <w:rPr>
                <w:rFonts w:ascii="仿宋" w:hAnsi="仿宋" w:eastAsia="仿宋" w:cs="仿宋"/>
                <w:color w:val="000000" w:themeColor="text1"/>
                <w:sz w:val="21"/>
                <w:szCs w:val="21"/>
              </w:rPr>
            </w:pPr>
          </w:p>
        </w:tc>
        <w:tc>
          <w:tcPr>
            <w:tcW w:w="1309" w:type="dxa"/>
            <w:vAlign w:val="center"/>
          </w:tcPr>
          <w:p>
            <w:pPr>
              <w:spacing w:line="34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乡镇、街道</w:t>
            </w:r>
          </w:p>
        </w:tc>
      </w:tr>
    </w:tbl>
    <w:p>
      <w:pPr>
        <w:ind w:left="-58" w:leftChars="-19" w:hanging="2" w:hangingChars="1"/>
        <w:rPr>
          <w:color w:val="000000" w:themeColor="text1"/>
        </w:rPr>
      </w:pPr>
      <w:r>
        <w:rPr>
          <w:rFonts w:hint="eastAsia" w:ascii="仿宋" w:hAnsi="仿宋" w:eastAsia="仿宋" w:cs="仿宋"/>
          <w:b/>
          <w:bCs/>
          <w:color w:val="000000" w:themeColor="text1"/>
          <w:sz w:val="21"/>
          <w:szCs w:val="21"/>
        </w:rPr>
        <w:t>注：</w:t>
      </w:r>
      <w:r>
        <w:rPr>
          <w:rFonts w:hint="eastAsia" w:ascii="仿宋" w:hAnsi="仿宋" w:eastAsia="仿宋" w:cs="仿宋"/>
          <w:color w:val="000000" w:themeColor="text1"/>
          <w:sz w:val="21"/>
          <w:szCs w:val="21"/>
        </w:rPr>
        <w:t>乡镇（街道）法定行政执法权10项，其中：行政检查2项，行政强制4项，行政处罚4项。</w:t>
      </w:r>
      <w:bookmarkStart w:id="0" w:name="_GoBack"/>
      <w:bookmarkEnd w:id="0"/>
    </w:p>
    <w:sectPr>
      <w:footerReference r:id="rId3" w:type="default"/>
      <w:footerReference r:id="rId4" w:type="even"/>
      <w:pgSz w:w="16838" w:h="11906" w:orient="landscape"/>
      <w:pgMar w:top="1531" w:right="2098" w:bottom="1531" w:left="1985" w:header="851" w:footer="1304" w:gutter="0"/>
      <w:pgNumType w:fmt="numberInDash" w:start="5"/>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A76E3"/>
    <w:multiLevelType w:val="singleLevel"/>
    <w:tmpl w:val="BB6A76E3"/>
    <w:lvl w:ilvl="0" w:tentative="0">
      <w:start w:val="1"/>
      <w:numFmt w:val="decimal"/>
      <w:lvlText w:val="%1."/>
      <w:lvlJc w:val="left"/>
      <w:pPr>
        <w:tabs>
          <w:tab w:val="left" w:pos="312"/>
        </w:tabs>
      </w:pPr>
    </w:lvl>
  </w:abstractNum>
  <w:abstractNum w:abstractNumId="1">
    <w:nsid w:val="D9293D32"/>
    <w:multiLevelType w:val="singleLevel"/>
    <w:tmpl w:val="D9293D32"/>
    <w:lvl w:ilvl="0" w:tentative="0">
      <w:start w:val="1"/>
      <w:numFmt w:val="decimal"/>
      <w:suff w:val="space"/>
      <w:lvlText w:val="%1."/>
      <w:lvlJc w:val="left"/>
    </w:lvl>
  </w:abstractNum>
  <w:abstractNum w:abstractNumId="2">
    <w:nsid w:val="70AFDC26"/>
    <w:multiLevelType w:val="singleLevel"/>
    <w:tmpl w:val="70AFDC26"/>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D0263B0"/>
    <w:rsid w:val="000750B1"/>
    <w:rsid w:val="002E2006"/>
    <w:rsid w:val="003A7B09"/>
    <w:rsid w:val="00571449"/>
    <w:rsid w:val="00765267"/>
    <w:rsid w:val="007D1D61"/>
    <w:rsid w:val="007D7886"/>
    <w:rsid w:val="00930010"/>
    <w:rsid w:val="0099006C"/>
    <w:rsid w:val="009D13A2"/>
    <w:rsid w:val="00A70348"/>
    <w:rsid w:val="00AF113E"/>
    <w:rsid w:val="00AF584D"/>
    <w:rsid w:val="00BA638A"/>
    <w:rsid w:val="00D061DB"/>
    <w:rsid w:val="00DE43A3"/>
    <w:rsid w:val="02857725"/>
    <w:rsid w:val="19CD69C2"/>
    <w:rsid w:val="1D0263B0"/>
    <w:rsid w:val="1EC44F96"/>
    <w:rsid w:val="2A807C7D"/>
    <w:rsid w:val="37467413"/>
    <w:rsid w:val="3CB03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码1"/>
    <w:qFormat/>
    <w:uiPriority w:val="0"/>
    <w:rPr>
      <w:rFonts w:cs="Times New Roman"/>
    </w:rPr>
  </w:style>
  <w:style w:type="character" w:customStyle="1" w:styleId="9">
    <w:name w:val="页眉 Char"/>
    <w:basedOn w:val="6"/>
    <w:link w:val="4"/>
    <w:qFormat/>
    <w:uiPriority w:val="0"/>
    <w:rPr>
      <w:rFonts w:eastAsia="方正仿宋_GBK"/>
      <w:kern w:val="2"/>
      <w:sz w:val="18"/>
      <w:szCs w:val="18"/>
    </w:rPr>
  </w:style>
  <w:style w:type="character" w:customStyle="1" w:styleId="10">
    <w:name w:val="批注框文本 Char"/>
    <w:basedOn w:val="6"/>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3408</Words>
  <Characters>19427</Characters>
  <Lines>161</Lines>
  <Paragraphs>45</Paragraphs>
  <TotalTime>10</TotalTime>
  <ScaleCrop>false</ScaleCrop>
  <LinksUpToDate>false</LinksUpToDate>
  <CharactersWithSpaces>22790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2020-12-24T02:19:00Z</dcterms:created>
  <dc:creator>Lenovo</dc:creator>
  <cp:lastModifiedBy>lenovo</cp:lastModifiedBy>
  <cp:lastPrinted>2021-04-02T03:10:00Z</cp:lastPrinted>
  <dcterms:modified xsi:type="dcterms:W3CDTF">2021-06-02T01:15:25Z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24FA035982DB4C1EBFFFD30EF33BB88D</vt:lpwstr>
  </property>
</Properties>
</file>